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8A0" w:rsidRDefault="006928A0" w:rsidP="004E411F">
      <w:pPr>
        <w:jc w:val="center"/>
        <w:rPr>
          <w:rFonts w:ascii="Eras Bold ITC" w:hAnsi="Eras Bold ITC"/>
          <w:sz w:val="44"/>
          <w:szCs w:val="44"/>
        </w:rPr>
      </w:pPr>
    </w:p>
    <w:p w:rsidR="006928A0" w:rsidRDefault="006928A0" w:rsidP="004E411F">
      <w:pPr>
        <w:jc w:val="center"/>
        <w:rPr>
          <w:rFonts w:ascii="Eras Bold ITC" w:hAnsi="Eras Bold ITC"/>
          <w:sz w:val="44"/>
          <w:szCs w:val="44"/>
        </w:rPr>
      </w:pPr>
    </w:p>
    <w:p w:rsidR="006928A0" w:rsidRDefault="006928A0" w:rsidP="004E411F">
      <w:pPr>
        <w:jc w:val="center"/>
        <w:rPr>
          <w:rFonts w:ascii="Eras Bold ITC" w:hAnsi="Eras Bold ITC"/>
          <w:sz w:val="44"/>
          <w:szCs w:val="44"/>
        </w:rPr>
      </w:pPr>
    </w:p>
    <w:p w:rsidR="004E411F" w:rsidRPr="007306BE" w:rsidRDefault="004E411F" w:rsidP="004E411F">
      <w:pPr>
        <w:jc w:val="center"/>
        <w:rPr>
          <w:rFonts w:ascii="Eras Bold ITC" w:hAnsi="Eras Bold ITC"/>
          <w:sz w:val="44"/>
          <w:szCs w:val="44"/>
        </w:rPr>
      </w:pPr>
      <w:r w:rsidRPr="007306BE">
        <w:rPr>
          <w:rFonts w:ascii="Eras Bold ITC" w:hAnsi="Eras Bold ITC"/>
          <w:sz w:val="44"/>
          <w:szCs w:val="44"/>
        </w:rPr>
        <w:t>Hall County TIF Valuation Report</w:t>
      </w:r>
    </w:p>
    <w:p w:rsidR="004E411F" w:rsidRPr="007306BE" w:rsidRDefault="004E411F" w:rsidP="004E411F">
      <w:pPr>
        <w:jc w:val="center"/>
        <w:rPr>
          <w:rFonts w:ascii="Eras Bold ITC" w:hAnsi="Eras Bold ITC"/>
          <w:sz w:val="40"/>
          <w:szCs w:val="40"/>
        </w:rPr>
      </w:pPr>
      <w:r w:rsidRPr="007306BE">
        <w:rPr>
          <w:rFonts w:ascii="Eras Bold ITC" w:hAnsi="Eras Bold ITC"/>
          <w:sz w:val="40"/>
          <w:szCs w:val="40"/>
        </w:rPr>
        <w:t>1994-2016</w:t>
      </w:r>
    </w:p>
    <w:p w:rsidR="004E411F" w:rsidRDefault="004E411F" w:rsidP="004E411F">
      <w:pPr>
        <w:jc w:val="center"/>
      </w:pPr>
    </w:p>
    <w:p w:rsidR="004E411F" w:rsidRDefault="004E411F" w:rsidP="004E411F">
      <w:pPr>
        <w:jc w:val="center"/>
      </w:pPr>
    </w:p>
    <w:p w:rsidR="004E411F" w:rsidRDefault="004E411F" w:rsidP="004E411F">
      <w:pPr>
        <w:jc w:val="center"/>
      </w:pPr>
    </w:p>
    <w:p w:rsidR="004E411F" w:rsidRDefault="004E411F" w:rsidP="004E411F">
      <w:pPr>
        <w:jc w:val="center"/>
      </w:pPr>
    </w:p>
    <w:p w:rsidR="004E411F" w:rsidRDefault="004E411F" w:rsidP="004E411F">
      <w:pPr>
        <w:jc w:val="center"/>
      </w:pPr>
    </w:p>
    <w:p w:rsidR="004E411F" w:rsidRDefault="004E411F" w:rsidP="004E411F">
      <w:pPr>
        <w:jc w:val="center"/>
      </w:pPr>
    </w:p>
    <w:p w:rsidR="004E411F" w:rsidRPr="007306BE" w:rsidRDefault="004E411F" w:rsidP="004E411F">
      <w:pPr>
        <w:jc w:val="center"/>
        <w:rPr>
          <w:rFonts w:ascii="Futura XBlk BT" w:hAnsi="Futura XBlk BT"/>
        </w:rPr>
      </w:pPr>
      <w:r w:rsidRPr="007306BE">
        <w:rPr>
          <w:rFonts w:ascii="Futura XBlk BT" w:hAnsi="Futura XBlk BT"/>
        </w:rPr>
        <w:t>Submitted: January 22, 2018</w:t>
      </w:r>
    </w:p>
    <w:p w:rsidR="004E411F" w:rsidRPr="007306BE" w:rsidRDefault="004E411F" w:rsidP="004E411F">
      <w:pPr>
        <w:jc w:val="center"/>
        <w:rPr>
          <w:rFonts w:ascii="Futura XBlk BT" w:hAnsi="Futura XBlk BT"/>
        </w:rPr>
      </w:pPr>
      <w:r w:rsidRPr="007306BE">
        <w:rPr>
          <w:rFonts w:ascii="Futura XBlk BT" w:hAnsi="Futura XBlk BT"/>
        </w:rPr>
        <w:t>Knotwell GeoAnalytics</w:t>
      </w:r>
    </w:p>
    <w:p w:rsidR="009E4855" w:rsidRDefault="009E4855"/>
    <w:p w:rsidR="004E411F" w:rsidRDefault="004E411F"/>
    <w:p w:rsidR="004E411F" w:rsidRDefault="004E411F"/>
    <w:p w:rsidR="004E411F" w:rsidRDefault="004E411F"/>
    <w:p w:rsidR="004E411F" w:rsidRDefault="004E411F"/>
    <w:p w:rsidR="004E411F" w:rsidRDefault="004E411F"/>
    <w:p w:rsidR="004E411F" w:rsidRDefault="004E411F"/>
    <w:p w:rsidR="004E411F" w:rsidRDefault="004E411F"/>
    <w:p w:rsidR="004E411F" w:rsidRDefault="004E411F"/>
    <w:p w:rsidR="009E4855" w:rsidRDefault="009E4855" w:rsidP="009E4855">
      <w:pPr>
        <w:rPr>
          <w:rFonts w:ascii="Eras Bold ITC" w:hAnsi="Eras Bold ITC"/>
          <w:sz w:val="28"/>
          <w:szCs w:val="28"/>
        </w:rPr>
      </w:pPr>
      <w:bookmarkStart w:id="0" w:name="_GoBack"/>
      <w:bookmarkEnd w:id="0"/>
      <w:r>
        <w:rPr>
          <w:rFonts w:ascii="Eras Bold ITC" w:hAnsi="Eras Bold ITC"/>
          <w:sz w:val="28"/>
          <w:szCs w:val="28"/>
        </w:rPr>
        <w:lastRenderedPageBreak/>
        <w:t>Summary</w:t>
      </w:r>
    </w:p>
    <w:p w:rsidR="009E4855" w:rsidRDefault="009E4855" w:rsidP="009E4855">
      <w:r>
        <w:t xml:space="preserve">The primary question is:  does TIF designation increase property valuation, leading to increased tax revenue that enhances development?  Though the answer is not definitive, it remains a reasonable probability that, YES, TIF designation does what it is intended to do; in the most fundamental sense--TIF matters.  </w:t>
      </w:r>
    </w:p>
    <w:p w:rsidR="009E4855" w:rsidRDefault="009E4855" w:rsidP="009E4855">
      <w:pPr>
        <w:pStyle w:val="ListParagraph"/>
        <w:numPr>
          <w:ilvl w:val="0"/>
          <w:numId w:val="1"/>
        </w:numPr>
      </w:pPr>
      <w:r>
        <w:t xml:space="preserve">TIF parcels generally changed value differently year-to-year than non-TIF parcels. Parcels that ultimately were designated TIF, were decreasing in value until designated for TIF, at which point, or within a year or two, they began to increase in value—in nearly all cases. TIF designation </w:t>
      </w:r>
      <w:r w:rsidRPr="003D47D1">
        <w:rPr>
          <w:i/>
        </w:rPr>
        <w:t>correlates</w:t>
      </w:r>
      <w:r>
        <w:t xml:space="preserve"> directly with subsequent valuation increases.</w:t>
      </w:r>
    </w:p>
    <w:p w:rsidR="009E4855" w:rsidRDefault="009E4855" w:rsidP="009E4855">
      <w:pPr>
        <w:pStyle w:val="ListParagraph"/>
        <w:numPr>
          <w:ilvl w:val="0"/>
          <w:numId w:val="1"/>
        </w:numPr>
      </w:pPr>
      <w:r>
        <w:t>NON-TIF parcels, on the other hand, maintained a gradual, fairly steady increase, quite likely driven more by commercial valuation increases rather than residential, which seemed to fluctuate more, or be affected more by external housing valuation—forces operating at a state or national level.</w:t>
      </w:r>
    </w:p>
    <w:p w:rsidR="009E4855" w:rsidRDefault="009E4855" w:rsidP="009E4855">
      <w:pPr>
        <w:pStyle w:val="ListParagraph"/>
        <w:numPr>
          <w:ilvl w:val="0"/>
          <w:numId w:val="1"/>
        </w:numPr>
      </w:pPr>
      <w:r>
        <w:t>There does seem to be some sort of TIF-Adjacency Factor working on parcels within close proximity to TIF parcels, although it seems to work differently on different types of parcels: residential or commercial. This effect of this factor, though, is weak and dissipates quickly with distance, hardly more than 1/20</w:t>
      </w:r>
      <w:r w:rsidRPr="00B25BA1">
        <w:rPr>
          <w:vertAlign w:val="superscript"/>
        </w:rPr>
        <w:t>th</w:t>
      </w:r>
      <w:r>
        <w:t xml:space="preserve"> mile (264’).</w:t>
      </w:r>
    </w:p>
    <w:p w:rsidR="009E4855" w:rsidRDefault="009E4855" w:rsidP="009E4855">
      <w:pPr>
        <w:pStyle w:val="ListParagraph"/>
        <w:numPr>
          <w:ilvl w:val="1"/>
          <w:numId w:val="1"/>
        </w:numPr>
      </w:pPr>
      <w:r>
        <w:t>Residential parcels within 264’ of TIF projects changed valuation in the same direction as residential non-TIF parcels further away, but rate-of-change was “flatter”, perhaps the influence of TIF improvements.</w:t>
      </w:r>
    </w:p>
    <w:p w:rsidR="009E4855" w:rsidRDefault="009E4855" w:rsidP="009E4855">
      <w:pPr>
        <w:pStyle w:val="ListParagraph"/>
        <w:numPr>
          <w:ilvl w:val="1"/>
          <w:numId w:val="1"/>
        </w:numPr>
      </w:pPr>
      <w:r>
        <w:t>Commercial parcels within 264’ were slow to keep pace with generally increasing commercial valuations of commercial non-TIF parcels further away, perhaps the result of the generally depressed valuation that motivated TIF designations in the first place; valuations did seem to be increasing after a considerable lag time (10 years), suggesting further examination beyond this lag period, or on a project-by-project basis.</w:t>
      </w:r>
    </w:p>
    <w:p w:rsidR="009E4855" w:rsidRDefault="009E4855">
      <w:r>
        <w:br w:type="page"/>
      </w:r>
    </w:p>
    <w:p w:rsidR="00534297" w:rsidRDefault="00F65406">
      <w:r>
        <w:lastRenderedPageBreak/>
        <w:t xml:space="preserve">In the most fundamental sense Tax Increment Finance (TIF) projects are initiated to increase tax valuations for the properties so designated.  There are, theoretically, additional benefits associated with TIF designations, but these </w:t>
      </w:r>
      <w:r w:rsidR="00602495">
        <w:t>seem</w:t>
      </w:r>
      <w:r>
        <w:t xml:space="preserve"> unlikely to accrue unless these areas “perform” in the primary way they are intended</w:t>
      </w:r>
      <w:r w:rsidR="00602495">
        <w:t xml:space="preserve">, which is </w:t>
      </w:r>
      <w:r>
        <w:t xml:space="preserve">to provoke an increase in value that generates an increase in tax revenue.  This analysis examines TIF land parcel valuations to see if that is occurring in Hall </w:t>
      </w:r>
      <w:r w:rsidR="0066682A">
        <w:t>C</w:t>
      </w:r>
      <w:r>
        <w:t>ounty, and if those parcels that have been TIF</w:t>
      </w:r>
      <w:r w:rsidR="00707746">
        <w:t>-designated</w:t>
      </w:r>
      <w:r>
        <w:t xml:space="preserve"> respond differently, in terms of assessed valuation, th</w:t>
      </w:r>
      <w:r w:rsidR="00707746">
        <w:t>a</w:t>
      </w:r>
      <w:r>
        <w:t>n those parcels that have not been TIF</w:t>
      </w:r>
      <w:r w:rsidR="00707746">
        <w:t>-</w:t>
      </w:r>
      <w:r>
        <w:t>d</w:t>
      </w:r>
      <w:r w:rsidR="00707746">
        <w:t>esignated</w:t>
      </w:r>
      <w:r>
        <w:t xml:space="preserve">. </w:t>
      </w:r>
    </w:p>
    <w:p w:rsidR="00602495" w:rsidRDefault="00F65406" w:rsidP="00602495">
      <w:r>
        <w:t xml:space="preserve">The analysis concludes that there </w:t>
      </w:r>
      <w:r w:rsidRPr="00602495">
        <w:rPr>
          <w:i/>
        </w:rPr>
        <w:t>are</w:t>
      </w:r>
      <w:r>
        <w:t xml:space="preserve"> noticeable differences in valuation changes over time between these inside parcels</w:t>
      </w:r>
      <w:r w:rsidR="00602495">
        <w:t xml:space="preserve"> (TIF) </w:t>
      </w:r>
      <w:r>
        <w:t>and outside parcels</w:t>
      </w:r>
      <w:r w:rsidR="00602495">
        <w:t xml:space="preserve"> (NON-TIF)</w:t>
      </w:r>
      <w:r>
        <w:t xml:space="preserve">, coinciding with </w:t>
      </w:r>
      <w:r w:rsidR="00602495">
        <w:t xml:space="preserve">initiation and </w:t>
      </w:r>
      <w:r>
        <w:t>accumulating instances of TIF designations from year to year</w:t>
      </w:r>
      <w:r w:rsidR="00707746">
        <w:t>, beginning in 2003 and accumulating annually since</w:t>
      </w:r>
      <w:r w:rsidR="00B21E3A">
        <w:t xml:space="preserve">.  </w:t>
      </w:r>
    </w:p>
    <w:p w:rsidR="00B21E3A" w:rsidRDefault="00B21E3A" w:rsidP="00602495">
      <w:pPr>
        <w:jc w:val="center"/>
        <w:rPr>
          <w:b/>
          <w:i/>
          <w:sz w:val="32"/>
          <w:szCs w:val="32"/>
        </w:rPr>
      </w:pPr>
      <w:r w:rsidRPr="00B21E3A">
        <w:rPr>
          <w:b/>
          <w:i/>
          <w:sz w:val="32"/>
          <w:szCs w:val="32"/>
        </w:rPr>
        <w:t>TIF PARCELS</w:t>
      </w:r>
      <w:r w:rsidR="00DB1B98">
        <w:rPr>
          <w:b/>
          <w:i/>
          <w:sz w:val="32"/>
          <w:szCs w:val="32"/>
        </w:rPr>
        <w:t xml:space="preserve"> – Total Assessed Value</w:t>
      </w:r>
    </w:p>
    <w:p w:rsidR="00DB1B98" w:rsidRDefault="00DB1B98" w:rsidP="00602495">
      <w:pPr>
        <w:jc w:val="center"/>
        <w:rPr>
          <w:sz w:val="32"/>
          <w:szCs w:val="32"/>
        </w:rPr>
      </w:pPr>
      <w:r>
        <w:rPr>
          <w:noProof/>
        </w:rPr>
        <w:drawing>
          <wp:inline distT="0" distB="0" distL="0" distR="0" wp14:anchorId="33AEF6C5" wp14:editId="0E3354F9">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07746" w:rsidRPr="00707746" w:rsidRDefault="00707746" w:rsidP="00707746">
      <w:pPr>
        <w:jc w:val="right"/>
      </w:pPr>
      <w:r w:rsidRPr="00707746">
        <w:t>Figure 1</w:t>
      </w:r>
    </w:p>
    <w:p w:rsidR="00754D23" w:rsidRDefault="00793139" w:rsidP="0091196E">
      <w:r>
        <w:t xml:space="preserve">The key element of this comparison is slope direction.  Cumulative </w:t>
      </w:r>
      <w:r w:rsidR="00DB1B98">
        <w:t xml:space="preserve">Total Assessed Values (TAV) </w:t>
      </w:r>
      <w:r w:rsidR="007008BB">
        <w:t xml:space="preserve">in TIF parcels, </w:t>
      </w:r>
      <w:r w:rsidR="00DB1B98">
        <w:t xml:space="preserve">sloped negatively until 2004, </w:t>
      </w:r>
      <w:r>
        <w:t xml:space="preserve">two years after the first TIF projects were designated, </w:t>
      </w:r>
      <w:r w:rsidR="00DB1B98">
        <w:t>then sloped positively</w:t>
      </w:r>
      <w:r w:rsidR="000E5519">
        <w:t xml:space="preserve"> </w:t>
      </w:r>
      <w:r w:rsidR="00DB1B98">
        <w:t xml:space="preserve">at </w:t>
      </w:r>
      <w:r w:rsidR="000E5519">
        <w:t>much steeper rate</w:t>
      </w:r>
      <w:r w:rsidR="00DB1B98">
        <w:t xml:space="preserve"> since 2004</w:t>
      </w:r>
      <w:r w:rsidR="000E5519">
        <w:t>, approximately six times steeper</w:t>
      </w:r>
      <w:r>
        <w:t xml:space="preserve"> than before; increasing, but</w:t>
      </w:r>
      <w:r w:rsidR="0091196E">
        <w:t xml:space="preserve"> still not increasing as fast as non-TIF parcels after changing direction</w:t>
      </w:r>
      <w:r w:rsidR="007008BB">
        <w:rPr>
          <w:rStyle w:val="FootnoteReference"/>
        </w:rPr>
        <w:footnoteReference w:id="1"/>
      </w:r>
      <w:r w:rsidR="00707746">
        <w:t>(Figure 1)</w:t>
      </w:r>
      <w:r w:rsidR="00DB1B98">
        <w:t>.</w:t>
      </w:r>
      <w:r w:rsidR="0091196E">
        <w:t xml:space="preserve">  Non-TIF parcels</w:t>
      </w:r>
      <w:r>
        <w:t>, contrastingly,</w:t>
      </w:r>
      <w:r w:rsidR="0091196E">
        <w:t xml:space="preserve"> vary gradually with little variation, trending generally upward (positively) at about the same rate throughout the analysis period, until the last couple years when they begin to trend upward a bit more steeply</w:t>
      </w:r>
      <w:r w:rsidR="00707746">
        <w:t xml:space="preserve"> (Figure 2). </w:t>
      </w:r>
    </w:p>
    <w:p w:rsidR="0091196E" w:rsidRDefault="0091196E" w:rsidP="0091196E">
      <w:r>
        <w:lastRenderedPageBreak/>
        <w:t>There are two features of TIF parcels at this scale that are noteworthy for our narrow purposes, that distinguish TIF parcels from non-TIF:   1) in terms of constant dollars, they were actually decreasing in value at the beginning of the study period, which tends to justify their consideration for TIF designation in the first place; and 2) after TIF projects are introduced from 2003 on, with possibly a lag period of a year or so, maybe more, TIF parcel land valuations change direction from negative to positive, and stays positive in terms of valuation growth.</w:t>
      </w:r>
    </w:p>
    <w:p w:rsidR="00B21E3A" w:rsidRDefault="0091196E" w:rsidP="00602495">
      <w:pPr>
        <w:jc w:val="center"/>
        <w:rPr>
          <w:noProof/>
        </w:rPr>
      </w:pPr>
      <w:r>
        <w:rPr>
          <w:b/>
          <w:i/>
          <w:sz w:val="28"/>
          <w:szCs w:val="28"/>
        </w:rPr>
        <w:t>N</w:t>
      </w:r>
      <w:r w:rsidR="00B21E3A" w:rsidRPr="00B21E3A">
        <w:rPr>
          <w:b/>
          <w:i/>
          <w:sz w:val="28"/>
          <w:szCs w:val="28"/>
        </w:rPr>
        <w:t>ON-TIF PARCELS</w:t>
      </w:r>
      <w:r w:rsidR="00DB1B98">
        <w:rPr>
          <w:b/>
          <w:i/>
          <w:sz w:val="28"/>
          <w:szCs w:val="28"/>
        </w:rPr>
        <w:t xml:space="preserve"> – Total Assessed Value</w:t>
      </w:r>
    </w:p>
    <w:p w:rsidR="000E5519" w:rsidRDefault="000E5519" w:rsidP="00602495">
      <w:pPr>
        <w:jc w:val="center"/>
      </w:pPr>
      <w:r>
        <w:rPr>
          <w:noProof/>
        </w:rPr>
        <w:drawing>
          <wp:inline distT="0" distB="0" distL="0" distR="0" wp14:anchorId="6178ACF2" wp14:editId="3D294353">
            <wp:extent cx="51816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07746" w:rsidRDefault="00707746" w:rsidP="00707746">
      <w:pPr>
        <w:jc w:val="right"/>
      </w:pPr>
      <w:r>
        <w:t>Figure 2</w:t>
      </w:r>
    </w:p>
    <w:p w:rsidR="004C1957" w:rsidRDefault="004C1957" w:rsidP="00257CD2">
      <w:r>
        <w:t xml:space="preserve">Over the last couple years of the study period, </w:t>
      </w:r>
      <w:r w:rsidR="0091196E">
        <w:t xml:space="preserve">cumulative </w:t>
      </w:r>
      <w:r>
        <w:t xml:space="preserve">valuations increase at a steeper rate for both groups, though the rate is tempered among NON-TIF parcels somewhat, it is unknown at this point why, but some suggestions appear as the NON-TIF parcels are further separated and examined for variation among types of NON-TIF parcels: rural v. urban/town, adjacency to TIF, inside or outside Grand Island, Grand Island Residential v. Grand Island Commercial.  </w:t>
      </w:r>
    </w:p>
    <w:p w:rsidR="00754D23" w:rsidRDefault="00754D23" w:rsidP="00257CD2">
      <w:pPr>
        <w:rPr>
          <w:rFonts w:ascii="Eras Bold ITC" w:hAnsi="Eras Bold ITC"/>
          <w:sz w:val="28"/>
          <w:szCs w:val="28"/>
        </w:rPr>
      </w:pPr>
    </w:p>
    <w:p w:rsidR="004C1957" w:rsidRDefault="004C1957" w:rsidP="00257CD2">
      <w:pPr>
        <w:rPr>
          <w:rFonts w:ascii="Eras Bold ITC" w:hAnsi="Eras Bold ITC"/>
          <w:sz w:val="28"/>
          <w:szCs w:val="28"/>
        </w:rPr>
      </w:pPr>
      <w:r w:rsidRPr="004326C9">
        <w:rPr>
          <w:rFonts w:ascii="Eras Bold ITC" w:hAnsi="Eras Bold ITC"/>
          <w:sz w:val="28"/>
          <w:szCs w:val="28"/>
        </w:rPr>
        <w:t>TIF PARCELS FIRST</w:t>
      </w:r>
    </w:p>
    <w:p w:rsidR="004326C9" w:rsidRDefault="004326C9" w:rsidP="00257CD2">
      <w:r>
        <w:t xml:space="preserve">There are 43 TIF projects spread </w:t>
      </w:r>
      <w:r w:rsidR="005C750D">
        <w:t xml:space="preserve">throughout Grand Island </w:t>
      </w:r>
      <w:r>
        <w:t>containing 316 land parcels, many of which had zero assessed value until the last couple years of the study perio</w:t>
      </w:r>
      <w:r w:rsidR="00021BB5">
        <w:t>d, which partly explains the recent valuation spike</w:t>
      </w:r>
      <w:r w:rsidR="00523F5A">
        <w:t>; improvement assessments also shot up in these parcels by several tens of thousands of dollars these last two years as well</w:t>
      </w:r>
      <w:r w:rsidR="00021BB5">
        <w:t>.  Of these TIF projects, 2</w:t>
      </w:r>
      <w:r w:rsidR="005C750D">
        <w:t>7</w:t>
      </w:r>
      <w:r w:rsidR="00021BB5">
        <w:t xml:space="preserve"> (56%) affect commercial</w:t>
      </w:r>
      <w:r w:rsidR="00952912">
        <w:t xml:space="preserve"> (C)</w:t>
      </w:r>
      <w:r w:rsidR="00021BB5">
        <w:t xml:space="preserve"> parcels, </w:t>
      </w:r>
      <w:r w:rsidR="005C750D">
        <w:t xml:space="preserve">and </w:t>
      </w:r>
      <w:r w:rsidR="00021BB5">
        <w:t xml:space="preserve">16 (37%) affect residential </w:t>
      </w:r>
      <w:r w:rsidR="00952912">
        <w:t xml:space="preserve">(R) </w:t>
      </w:r>
      <w:r w:rsidR="00021BB5">
        <w:t>parcels.  These TIF projects went into effect almost annually from 2002, through 2016, although a few were date unknown</w:t>
      </w:r>
      <w:r w:rsidR="00952912">
        <w:t xml:space="preserve">, with more per year from </w:t>
      </w:r>
      <w:r w:rsidR="00523F5A">
        <w:t>2009 onward peaking at 9 initialized in 2012</w:t>
      </w:r>
      <w:r w:rsidR="00021BB5">
        <w:t>.</w:t>
      </w:r>
    </w:p>
    <w:tbl>
      <w:tblPr>
        <w:tblW w:w="4485" w:type="dxa"/>
        <w:tblInd w:w="2325" w:type="dxa"/>
        <w:tblLook w:val="04A0" w:firstRow="1" w:lastRow="0" w:firstColumn="1" w:lastColumn="0" w:noHBand="0" w:noVBand="1"/>
      </w:tblPr>
      <w:tblGrid>
        <w:gridCol w:w="960"/>
        <w:gridCol w:w="1600"/>
        <w:gridCol w:w="1163"/>
        <w:gridCol w:w="965"/>
      </w:tblGrid>
      <w:tr w:rsidR="00952912" w:rsidRPr="00952912" w:rsidTr="00952912">
        <w:trPr>
          <w:trHeight w:val="300"/>
        </w:trPr>
        <w:tc>
          <w:tcPr>
            <w:tcW w:w="96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center"/>
              <w:rPr>
                <w:rFonts w:ascii="Calibri" w:eastAsia="Times New Roman" w:hAnsi="Calibri" w:cs="Times New Roman"/>
                <w:b/>
                <w:bCs/>
                <w:color w:val="000000"/>
              </w:rPr>
            </w:pPr>
            <w:r w:rsidRPr="00952912">
              <w:rPr>
                <w:rFonts w:ascii="Calibri" w:eastAsia="Times New Roman" w:hAnsi="Calibri" w:cs="Times New Roman"/>
                <w:b/>
                <w:bCs/>
                <w:color w:val="000000"/>
              </w:rPr>
              <w:lastRenderedPageBreak/>
              <w:t>Year</w:t>
            </w:r>
          </w:p>
        </w:tc>
        <w:tc>
          <w:tcPr>
            <w:tcW w:w="160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center"/>
              <w:rPr>
                <w:rFonts w:ascii="Calibri" w:eastAsia="Times New Roman" w:hAnsi="Calibri" w:cs="Times New Roman"/>
                <w:b/>
                <w:bCs/>
                <w:color w:val="000000"/>
              </w:rPr>
            </w:pPr>
            <w:r w:rsidRPr="00952912">
              <w:rPr>
                <w:rFonts w:ascii="Calibri" w:eastAsia="Times New Roman" w:hAnsi="Calibri" w:cs="Times New Roman"/>
                <w:b/>
                <w:bCs/>
                <w:color w:val="000000"/>
              </w:rPr>
              <w:t>Projected Value</w:t>
            </w:r>
          </w:p>
        </w:tc>
        <w:tc>
          <w:tcPr>
            <w:tcW w:w="1163"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center"/>
              <w:rPr>
                <w:rFonts w:ascii="Calibri" w:eastAsia="Times New Roman" w:hAnsi="Calibri" w:cs="Times New Roman"/>
                <w:b/>
                <w:bCs/>
                <w:color w:val="000000"/>
              </w:rPr>
            </w:pPr>
            <w:r w:rsidRPr="00952912">
              <w:rPr>
                <w:rFonts w:ascii="Calibri" w:eastAsia="Times New Roman" w:hAnsi="Calibri" w:cs="Times New Roman"/>
                <w:b/>
                <w:bCs/>
                <w:color w:val="000000"/>
              </w:rPr>
              <w:t>Type</w:t>
            </w:r>
          </w:p>
        </w:tc>
        <w:tc>
          <w:tcPr>
            <w:tcW w:w="762"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center"/>
              <w:rPr>
                <w:rFonts w:ascii="Calibri" w:eastAsia="Times New Roman" w:hAnsi="Calibri" w:cs="Times New Roman"/>
                <w:b/>
                <w:bCs/>
                <w:color w:val="000000"/>
              </w:rPr>
            </w:pPr>
            <w:r w:rsidRPr="00952912">
              <w:rPr>
                <w:rFonts w:ascii="Calibri" w:eastAsia="Times New Roman" w:hAnsi="Calibri" w:cs="Times New Roman"/>
                <w:b/>
                <w:bCs/>
                <w:color w:val="000000"/>
              </w:rPr>
              <w:t>Number</w:t>
            </w:r>
          </w:p>
        </w:tc>
      </w:tr>
      <w:tr w:rsidR="00952912" w:rsidRPr="00952912" w:rsidTr="00952912">
        <w:trPr>
          <w:trHeight w:val="300"/>
        </w:trPr>
        <w:tc>
          <w:tcPr>
            <w:tcW w:w="96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2002</w:t>
            </w:r>
          </w:p>
        </w:tc>
        <w:tc>
          <w:tcPr>
            <w:tcW w:w="160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355,000</w:t>
            </w:r>
          </w:p>
        </w:tc>
        <w:tc>
          <w:tcPr>
            <w:tcW w:w="1163"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rPr>
                <w:rFonts w:ascii="Calibri" w:eastAsia="Times New Roman" w:hAnsi="Calibri" w:cs="Times New Roman"/>
                <w:color w:val="000000"/>
              </w:rPr>
            </w:pPr>
            <w:r w:rsidRPr="00952912">
              <w:rPr>
                <w:rFonts w:ascii="Calibri" w:eastAsia="Times New Roman" w:hAnsi="Calibri" w:cs="Times New Roman"/>
                <w:color w:val="000000"/>
              </w:rPr>
              <w:t>C</w:t>
            </w:r>
          </w:p>
        </w:tc>
        <w:tc>
          <w:tcPr>
            <w:tcW w:w="762"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1</w:t>
            </w:r>
          </w:p>
        </w:tc>
      </w:tr>
      <w:tr w:rsidR="00952912" w:rsidRPr="00952912" w:rsidTr="00952912">
        <w:trPr>
          <w:trHeight w:val="300"/>
        </w:trPr>
        <w:tc>
          <w:tcPr>
            <w:tcW w:w="96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2003</w:t>
            </w:r>
          </w:p>
        </w:tc>
        <w:tc>
          <w:tcPr>
            <w:tcW w:w="160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1,063,000</w:t>
            </w:r>
          </w:p>
        </w:tc>
        <w:tc>
          <w:tcPr>
            <w:tcW w:w="1163" w:type="dxa"/>
            <w:tcBorders>
              <w:top w:val="nil"/>
              <w:left w:val="nil"/>
              <w:bottom w:val="nil"/>
              <w:right w:val="nil"/>
            </w:tcBorders>
            <w:shd w:val="clear" w:color="auto" w:fill="auto"/>
            <w:noWrap/>
            <w:vAlign w:val="bottom"/>
            <w:hideMark/>
          </w:tcPr>
          <w:p w:rsidR="00952912" w:rsidRPr="00952912" w:rsidRDefault="0091196E" w:rsidP="00952912">
            <w:pPr>
              <w:spacing w:after="0" w:line="240" w:lineRule="auto"/>
              <w:rPr>
                <w:rFonts w:ascii="Calibri" w:eastAsia="Times New Roman" w:hAnsi="Calibri" w:cs="Times New Roman"/>
                <w:color w:val="000000"/>
              </w:rPr>
            </w:pPr>
            <w:r>
              <w:rPr>
                <w:rFonts w:ascii="Calibri" w:eastAsia="Times New Roman" w:hAnsi="Calibri" w:cs="Times New Roman"/>
                <w:color w:val="000000"/>
              </w:rPr>
              <w:t>C</w:t>
            </w:r>
          </w:p>
        </w:tc>
        <w:tc>
          <w:tcPr>
            <w:tcW w:w="762"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1</w:t>
            </w:r>
          </w:p>
        </w:tc>
      </w:tr>
      <w:tr w:rsidR="00952912" w:rsidRPr="00952912" w:rsidTr="00952912">
        <w:trPr>
          <w:trHeight w:val="300"/>
        </w:trPr>
        <w:tc>
          <w:tcPr>
            <w:tcW w:w="96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2004</w:t>
            </w:r>
          </w:p>
        </w:tc>
        <w:tc>
          <w:tcPr>
            <w:tcW w:w="160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3,500,000</w:t>
            </w:r>
          </w:p>
        </w:tc>
        <w:tc>
          <w:tcPr>
            <w:tcW w:w="1163"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rPr>
                <w:rFonts w:ascii="Calibri" w:eastAsia="Times New Roman" w:hAnsi="Calibri" w:cs="Times New Roman"/>
                <w:color w:val="000000"/>
              </w:rPr>
            </w:pPr>
            <w:r w:rsidRPr="00952912">
              <w:rPr>
                <w:rFonts w:ascii="Calibri" w:eastAsia="Times New Roman" w:hAnsi="Calibri" w:cs="Times New Roman"/>
                <w:color w:val="000000"/>
              </w:rPr>
              <w:t>R</w:t>
            </w:r>
          </w:p>
        </w:tc>
        <w:tc>
          <w:tcPr>
            <w:tcW w:w="762"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1</w:t>
            </w:r>
          </w:p>
        </w:tc>
      </w:tr>
      <w:tr w:rsidR="00952912" w:rsidRPr="00952912" w:rsidTr="00952912">
        <w:trPr>
          <w:trHeight w:val="300"/>
        </w:trPr>
        <w:tc>
          <w:tcPr>
            <w:tcW w:w="96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2006</w:t>
            </w:r>
          </w:p>
        </w:tc>
        <w:tc>
          <w:tcPr>
            <w:tcW w:w="160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1,825,476</w:t>
            </w:r>
          </w:p>
        </w:tc>
        <w:tc>
          <w:tcPr>
            <w:tcW w:w="1163"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rPr>
                <w:rFonts w:ascii="Calibri" w:eastAsia="Times New Roman" w:hAnsi="Calibri" w:cs="Times New Roman"/>
                <w:color w:val="000000"/>
              </w:rPr>
            </w:pPr>
            <w:r w:rsidRPr="00952912">
              <w:rPr>
                <w:rFonts w:ascii="Calibri" w:eastAsia="Times New Roman" w:hAnsi="Calibri" w:cs="Times New Roman"/>
                <w:color w:val="000000"/>
              </w:rPr>
              <w:t>3C</w:t>
            </w:r>
          </w:p>
        </w:tc>
        <w:tc>
          <w:tcPr>
            <w:tcW w:w="762"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3</w:t>
            </w:r>
          </w:p>
        </w:tc>
      </w:tr>
      <w:tr w:rsidR="00952912" w:rsidRPr="00952912" w:rsidTr="00952912">
        <w:trPr>
          <w:trHeight w:val="300"/>
        </w:trPr>
        <w:tc>
          <w:tcPr>
            <w:tcW w:w="96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2007</w:t>
            </w:r>
          </w:p>
        </w:tc>
        <w:tc>
          <w:tcPr>
            <w:tcW w:w="160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1,400,000</w:t>
            </w:r>
          </w:p>
        </w:tc>
        <w:tc>
          <w:tcPr>
            <w:tcW w:w="1163"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rPr>
                <w:rFonts w:ascii="Calibri" w:eastAsia="Times New Roman" w:hAnsi="Calibri" w:cs="Times New Roman"/>
                <w:color w:val="000000"/>
              </w:rPr>
            </w:pPr>
            <w:r w:rsidRPr="00952912">
              <w:rPr>
                <w:rFonts w:ascii="Calibri" w:eastAsia="Times New Roman" w:hAnsi="Calibri" w:cs="Times New Roman"/>
                <w:color w:val="000000"/>
              </w:rPr>
              <w:t>R</w:t>
            </w:r>
          </w:p>
        </w:tc>
        <w:tc>
          <w:tcPr>
            <w:tcW w:w="762"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1</w:t>
            </w:r>
          </w:p>
        </w:tc>
      </w:tr>
      <w:tr w:rsidR="00952912" w:rsidRPr="00952912" w:rsidTr="00952912">
        <w:trPr>
          <w:trHeight w:val="300"/>
        </w:trPr>
        <w:tc>
          <w:tcPr>
            <w:tcW w:w="960" w:type="dxa"/>
            <w:tcBorders>
              <w:top w:val="nil"/>
              <w:left w:val="nil"/>
              <w:bottom w:val="nil"/>
              <w:right w:val="nil"/>
            </w:tcBorders>
            <w:shd w:val="clear" w:color="auto" w:fill="auto"/>
            <w:noWrap/>
            <w:vAlign w:val="bottom"/>
            <w:hideMark/>
          </w:tcPr>
          <w:p w:rsidR="00952912" w:rsidRPr="00952912" w:rsidRDefault="00952912" w:rsidP="00AD74ED">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200</w:t>
            </w:r>
            <w:r w:rsidR="00AD74ED">
              <w:rPr>
                <w:rFonts w:ascii="Calibri" w:eastAsia="Times New Roman" w:hAnsi="Calibri" w:cs="Times New Roman"/>
                <w:color w:val="000000"/>
              </w:rPr>
              <w:t>8</w:t>
            </w:r>
          </w:p>
        </w:tc>
        <w:tc>
          <w:tcPr>
            <w:tcW w:w="160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7,030,000</w:t>
            </w:r>
          </w:p>
        </w:tc>
        <w:tc>
          <w:tcPr>
            <w:tcW w:w="1163"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rPr>
                <w:rFonts w:ascii="Calibri" w:eastAsia="Times New Roman" w:hAnsi="Calibri" w:cs="Times New Roman"/>
                <w:color w:val="000000"/>
              </w:rPr>
            </w:pPr>
            <w:r w:rsidRPr="00952912">
              <w:rPr>
                <w:rFonts w:ascii="Calibri" w:eastAsia="Times New Roman" w:hAnsi="Calibri" w:cs="Times New Roman"/>
                <w:color w:val="000000"/>
              </w:rPr>
              <w:t>2C 1R</w:t>
            </w:r>
          </w:p>
        </w:tc>
        <w:tc>
          <w:tcPr>
            <w:tcW w:w="762"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3</w:t>
            </w:r>
          </w:p>
        </w:tc>
      </w:tr>
      <w:tr w:rsidR="00952912" w:rsidRPr="00952912" w:rsidTr="00952912">
        <w:trPr>
          <w:trHeight w:val="300"/>
        </w:trPr>
        <w:tc>
          <w:tcPr>
            <w:tcW w:w="96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2010</w:t>
            </w:r>
          </w:p>
        </w:tc>
        <w:tc>
          <w:tcPr>
            <w:tcW w:w="160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3,895,653</w:t>
            </w:r>
          </w:p>
        </w:tc>
        <w:tc>
          <w:tcPr>
            <w:tcW w:w="1163" w:type="dxa"/>
            <w:tcBorders>
              <w:top w:val="nil"/>
              <w:left w:val="nil"/>
              <w:bottom w:val="nil"/>
              <w:right w:val="nil"/>
            </w:tcBorders>
            <w:shd w:val="clear" w:color="auto" w:fill="auto"/>
            <w:noWrap/>
            <w:vAlign w:val="bottom"/>
            <w:hideMark/>
          </w:tcPr>
          <w:p w:rsidR="00952912" w:rsidRPr="00952912" w:rsidRDefault="0091196E" w:rsidP="0091196E">
            <w:pPr>
              <w:spacing w:after="0" w:line="240" w:lineRule="auto"/>
              <w:rPr>
                <w:rFonts w:ascii="Calibri" w:eastAsia="Times New Roman" w:hAnsi="Calibri" w:cs="Times New Roman"/>
                <w:color w:val="000000"/>
              </w:rPr>
            </w:pPr>
            <w:r>
              <w:rPr>
                <w:rFonts w:ascii="Calibri" w:eastAsia="Times New Roman" w:hAnsi="Calibri" w:cs="Times New Roman"/>
                <w:color w:val="000000"/>
              </w:rPr>
              <w:t>3</w:t>
            </w:r>
            <w:r w:rsidR="00952912" w:rsidRPr="00952912">
              <w:rPr>
                <w:rFonts w:ascii="Calibri" w:eastAsia="Times New Roman" w:hAnsi="Calibri" w:cs="Times New Roman"/>
                <w:color w:val="000000"/>
              </w:rPr>
              <w:t>C 1R</w:t>
            </w:r>
          </w:p>
        </w:tc>
        <w:tc>
          <w:tcPr>
            <w:tcW w:w="762"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4</w:t>
            </w:r>
          </w:p>
        </w:tc>
      </w:tr>
      <w:tr w:rsidR="00952912" w:rsidRPr="00952912" w:rsidTr="00952912">
        <w:trPr>
          <w:trHeight w:val="300"/>
        </w:trPr>
        <w:tc>
          <w:tcPr>
            <w:tcW w:w="96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2011</w:t>
            </w:r>
          </w:p>
        </w:tc>
        <w:tc>
          <w:tcPr>
            <w:tcW w:w="160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150,316</w:t>
            </w:r>
          </w:p>
        </w:tc>
        <w:tc>
          <w:tcPr>
            <w:tcW w:w="1163"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rPr>
                <w:rFonts w:ascii="Calibri" w:eastAsia="Times New Roman" w:hAnsi="Calibri" w:cs="Times New Roman"/>
                <w:color w:val="000000"/>
              </w:rPr>
            </w:pPr>
            <w:r w:rsidRPr="00952912">
              <w:rPr>
                <w:rFonts w:ascii="Calibri" w:eastAsia="Times New Roman" w:hAnsi="Calibri" w:cs="Times New Roman"/>
                <w:color w:val="000000"/>
              </w:rPr>
              <w:t>R</w:t>
            </w:r>
          </w:p>
        </w:tc>
        <w:tc>
          <w:tcPr>
            <w:tcW w:w="762"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1</w:t>
            </w:r>
          </w:p>
        </w:tc>
      </w:tr>
      <w:tr w:rsidR="00952912" w:rsidRPr="00952912" w:rsidTr="00952912">
        <w:trPr>
          <w:trHeight w:val="300"/>
        </w:trPr>
        <w:tc>
          <w:tcPr>
            <w:tcW w:w="96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2012</w:t>
            </w:r>
          </w:p>
        </w:tc>
        <w:tc>
          <w:tcPr>
            <w:tcW w:w="160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18,163,734</w:t>
            </w:r>
          </w:p>
        </w:tc>
        <w:tc>
          <w:tcPr>
            <w:tcW w:w="1163"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rPr>
                <w:rFonts w:ascii="Calibri" w:eastAsia="Times New Roman" w:hAnsi="Calibri" w:cs="Times New Roman"/>
                <w:color w:val="000000"/>
              </w:rPr>
            </w:pPr>
            <w:r w:rsidRPr="00952912">
              <w:rPr>
                <w:rFonts w:ascii="Calibri" w:eastAsia="Times New Roman" w:hAnsi="Calibri" w:cs="Times New Roman"/>
                <w:color w:val="000000"/>
              </w:rPr>
              <w:t>4C 5R</w:t>
            </w:r>
          </w:p>
        </w:tc>
        <w:tc>
          <w:tcPr>
            <w:tcW w:w="762"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9</w:t>
            </w:r>
          </w:p>
        </w:tc>
      </w:tr>
      <w:tr w:rsidR="00952912" w:rsidRPr="00952912" w:rsidTr="00952912">
        <w:trPr>
          <w:trHeight w:val="300"/>
        </w:trPr>
        <w:tc>
          <w:tcPr>
            <w:tcW w:w="96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2013</w:t>
            </w:r>
          </w:p>
        </w:tc>
        <w:tc>
          <w:tcPr>
            <w:tcW w:w="160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35,369,145</w:t>
            </w:r>
          </w:p>
        </w:tc>
        <w:tc>
          <w:tcPr>
            <w:tcW w:w="1163"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rPr>
                <w:rFonts w:ascii="Calibri" w:eastAsia="Times New Roman" w:hAnsi="Calibri" w:cs="Times New Roman"/>
                <w:color w:val="000000"/>
              </w:rPr>
            </w:pPr>
            <w:r w:rsidRPr="00952912">
              <w:rPr>
                <w:rFonts w:ascii="Calibri" w:eastAsia="Times New Roman" w:hAnsi="Calibri" w:cs="Times New Roman"/>
                <w:color w:val="000000"/>
              </w:rPr>
              <w:t>1C 1R</w:t>
            </w:r>
          </w:p>
        </w:tc>
        <w:tc>
          <w:tcPr>
            <w:tcW w:w="762"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2</w:t>
            </w:r>
          </w:p>
        </w:tc>
      </w:tr>
      <w:tr w:rsidR="00952912" w:rsidRPr="00952912" w:rsidTr="00952912">
        <w:trPr>
          <w:trHeight w:val="300"/>
        </w:trPr>
        <w:tc>
          <w:tcPr>
            <w:tcW w:w="96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2014</w:t>
            </w:r>
          </w:p>
        </w:tc>
        <w:tc>
          <w:tcPr>
            <w:tcW w:w="160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25,775,000</w:t>
            </w:r>
          </w:p>
        </w:tc>
        <w:tc>
          <w:tcPr>
            <w:tcW w:w="1163"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rPr>
                <w:rFonts w:ascii="Calibri" w:eastAsia="Times New Roman" w:hAnsi="Calibri" w:cs="Times New Roman"/>
                <w:color w:val="000000"/>
              </w:rPr>
            </w:pPr>
            <w:r w:rsidRPr="00952912">
              <w:rPr>
                <w:rFonts w:ascii="Calibri" w:eastAsia="Times New Roman" w:hAnsi="Calibri" w:cs="Times New Roman"/>
                <w:color w:val="000000"/>
              </w:rPr>
              <w:t>3C 1R</w:t>
            </w:r>
          </w:p>
        </w:tc>
        <w:tc>
          <w:tcPr>
            <w:tcW w:w="762"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4</w:t>
            </w:r>
          </w:p>
        </w:tc>
      </w:tr>
      <w:tr w:rsidR="00952912" w:rsidRPr="00952912" w:rsidTr="00952912">
        <w:trPr>
          <w:trHeight w:val="300"/>
        </w:trPr>
        <w:tc>
          <w:tcPr>
            <w:tcW w:w="96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2015</w:t>
            </w:r>
          </w:p>
        </w:tc>
        <w:tc>
          <w:tcPr>
            <w:tcW w:w="160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34,333,829</w:t>
            </w:r>
          </w:p>
        </w:tc>
        <w:tc>
          <w:tcPr>
            <w:tcW w:w="1163" w:type="dxa"/>
            <w:tcBorders>
              <w:top w:val="nil"/>
              <w:left w:val="nil"/>
              <w:bottom w:val="nil"/>
              <w:right w:val="nil"/>
            </w:tcBorders>
            <w:shd w:val="clear" w:color="auto" w:fill="auto"/>
            <w:noWrap/>
            <w:vAlign w:val="bottom"/>
            <w:hideMark/>
          </w:tcPr>
          <w:p w:rsidR="00952912" w:rsidRPr="00952912" w:rsidRDefault="0091196E" w:rsidP="0091196E">
            <w:pPr>
              <w:spacing w:after="0" w:line="240" w:lineRule="auto"/>
              <w:rPr>
                <w:rFonts w:ascii="Calibri" w:eastAsia="Times New Roman" w:hAnsi="Calibri" w:cs="Times New Roman"/>
                <w:color w:val="000000"/>
              </w:rPr>
            </w:pPr>
            <w:r>
              <w:rPr>
                <w:rFonts w:ascii="Calibri" w:eastAsia="Times New Roman" w:hAnsi="Calibri" w:cs="Times New Roman"/>
                <w:color w:val="000000"/>
              </w:rPr>
              <w:t>4</w:t>
            </w:r>
            <w:r w:rsidR="00952912" w:rsidRPr="00952912">
              <w:rPr>
                <w:rFonts w:ascii="Calibri" w:eastAsia="Times New Roman" w:hAnsi="Calibri" w:cs="Times New Roman"/>
                <w:color w:val="000000"/>
              </w:rPr>
              <w:t>C 1R</w:t>
            </w:r>
          </w:p>
        </w:tc>
        <w:tc>
          <w:tcPr>
            <w:tcW w:w="762"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5</w:t>
            </w:r>
          </w:p>
        </w:tc>
      </w:tr>
      <w:tr w:rsidR="00952912" w:rsidRPr="00952912" w:rsidTr="00952912">
        <w:trPr>
          <w:trHeight w:val="300"/>
        </w:trPr>
        <w:tc>
          <w:tcPr>
            <w:tcW w:w="96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2016</w:t>
            </w:r>
          </w:p>
        </w:tc>
        <w:tc>
          <w:tcPr>
            <w:tcW w:w="1600"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3,034,351</w:t>
            </w:r>
          </w:p>
        </w:tc>
        <w:tc>
          <w:tcPr>
            <w:tcW w:w="1163"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rPr>
                <w:rFonts w:ascii="Calibri" w:eastAsia="Times New Roman" w:hAnsi="Calibri" w:cs="Times New Roman"/>
                <w:color w:val="000000"/>
              </w:rPr>
            </w:pPr>
            <w:r w:rsidRPr="00952912">
              <w:rPr>
                <w:rFonts w:ascii="Calibri" w:eastAsia="Times New Roman" w:hAnsi="Calibri" w:cs="Times New Roman"/>
                <w:color w:val="000000"/>
              </w:rPr>
              <w:t>2C</w:t>
            </w:r>
          </w:p>
        </w:tc>
        <w:tc>
          <w:tcPr>
            <w:tcW w:w="762" w:type="dxa"/>
            <w:tcBorders>
              <w:top w:val="nil"/>
              <w:left w:val="nil"/>
              <w:bottom w:val="nil"/>
              <w:right w:val="nil"/>
            </w:tcBorders>
            <w:shd w:val="clear" w:color="auto" w:fill="auto"/>
            <w:noWrap/>
            <w:vAlign w:val="bottom"/>
            <w:hideMark/>
          </w:tcPr>
          <w:p w:rsidR="00952912" w:rsidRPr="00952912" w:rsidRDefault="00952912" w:rsidP="00952912">
            <w:pPr>
              <w:spacing w:after="0" w:line="240" w:lineRule="auto"/>
              <w:jc w:val="right"/>
              <w:rPr>
                <w:rFonts w:ascii="Calibri" w:eastAsia="Times New Roman" w:hAnsi="Calibri" w:cs="Times New Roman"/>
                <w:color w:val="000000"/>
              </w:rPr>
            </w:pPr>
            <w:r w:rsidRPr="00952912">
              <w:rPr>
                <w:rFonts w:ascii="Calibri" w:eastAsia="Times New Roman" w:hAnsi="Calibri" w:cs="Times New Roman"/>
                <w:color w:val="000000"/>
              </w:rPr>
              <w:t>2</w:t>
            </w:r>
          </w:p>
        </w:tc>
      </w:tr>
    </w:tbl>
    <w:p w:rsidR="0082361D" w:rsidRDefault="0082361D" w:rsidP="00257CD2"/>
    <w:p w:rsidR="00952912" w:rsidRDefault="00DD4E46" w:rsidP="00257CD2">
      <w:r>
        <w:t xml:space="preserve">Beginning in the early years of TIF project introduction, </w:t>
      </w:r>
      <w:r w:rsidR="005C750D">
        <w:t xml:space="preserve">TIF-designated </w:t>
      </w:r>
      <w:r>
        <w:t xml:space="preserve">parcel values, in terms of constant dollars, were either decreasing or flat, but most increased substantially in valuation in the year following TIF project initiation, then generally stabilizing at the higher rates.  The 2007 </w:t>
      </w:r>
      <w:r w:rsidR="00B03BC8">
        <w:t xml:space="preserve">data was skewed in the database provided by </w:t>
      </w:r>
      <w:r w:rsidR="00E771B5">
        <w:t>values attributed to parcel #</w:t>
      </w:r>
      <w:r w:rsidR="00E771B5" w:rsidRPr="00E771B5">
        <w:rPr>
          <w:rFonts w:ascii="Calibri" w:eastAsia="Times New Roman" w:hAnsi="Calibri" w:cs="Times New Roman"/>
          <w:color w:val="000000"/>
        </w:rPr>
        <w:t>400494116</w:t>
      </w:r>
      <w:r w:rsidR="00E771B5">
        <w:rPr>
          <w:rFonts w:ascii="Calibri" w:eastAsia="Times New Roman" w:hAnsi="Calibri" w:cs="Times New Roman"/>
          <w:color w:val="000000"/>
        </w:rPr>
        <w:t>, that then zeroed out in year 2000, no explanation was given, so that early part of the 2007 TIF parcel curve should be ignored in this pattern</w:t>
      </w:r>
      <w:r>
        <w:t>.  None of these TIF parcels, though, seems to have benefitted from the rapid infusion of improvement valuations at the end of the period.</w:t>
      </w:r>
    </w:p>
    <w:p w:rsidR="00754D23" w:rsidRDefault="00754D23" w:rsidP="00754D23">
      <w:r>
        <w:t xml:space="preserve">The middle years, too, show signs of post-TIF designation valuation improvement, but with 2011 and 2013 parcels showing considerable pre-TIF value fluctuation: 2011 spiking upward in 2006 as well as 2011, and 2013 increasing gradually from 2000 – 2004, then decreasing substantially 2004 – 2012, then spiking a bit post-2013, then again spiking post 2015 (Figure 4).  There were 4 projects started in 2010, plus one in 2011 to contribute to the post-2011 valuation increase, the earlier increase is harder to explain, although one of these projects was very close to a 2005 TIF project and could have benefitted some from that, although, in general, as will be shown later, adjacent parcels did not </w:t>
      </w:r>
      <w:r w:rsidR="005C750D">
        <w:t xml:space="preserve">necessarily </w:t>
      </w:r>
      <w:r>
        <w:t>share valuation spiking with TIF parcels. The pattern of post-TIF valuation improvement continues in the later years as well, as shown in Figure 5.  The magnitude of valuation change, though, is much more drastic than earlier in the period, suggesting there may be some external factors affecting valuation within the last few years of the study period.  Still, the sequencing remains fairly consistent with a post-TIF valuation increase immediately following project initialization.</w:t>
      </w:r>
    </w:p>
    <w:p w:rsidR="00754D23" w:rsidRDefault="00754D23" w:rsidP="00257CD2"/>
    <w:p w:rsidR="00754D23" w:rsidRDefault="00754D23" w:rsidP="00257CD2"/>
    <w:p w:rsidR="00ED15D0" w:rsidRDefault="00ED15D0" w:rsidP="00ED15D0">
      <w:pPr>
        <w:jc w:val="center"/>
        <w:rPr>
          <w:noProof/>
        </w:rPr>
      </w:pPr>
      <w:r w:rsidRPr="00B21E3A">
        <w:rPr>
          <w:b/>
          <w:i/>
          <w:sz w:val="28"/>
          <w:szCs w:val="28"/>
        </w:rPr>
        <w:lastRenderedPageBreak/>
        <w:t>TIF PARCELS</w:t>
      </w:r>
      <w:r>
        <w:rPr>
          <w:b/>
          <w:i/>
          <w:sz w:val="28"/>
          <w:szCs w:val="28"/>
        </w:rPr>
        <w:t xml:space="preserve"> BY YEAR INITIATED – Total Assessed Value</w:t>
      </w:r>
      <w:r w:rsidR="00CC1B2F">
        <w:rPr>
          <w:rStyle w:val="FootnoteReference"/>
        </w:rPr>
        <w:footnoteReference w:id="2"/>
      </w:r>
    </w:p>
    <w:p w:rsidR="00DD4E46" w:rsidRDefault="00DD4E46" w:rsidP="00754D23">
      <w:pPr>
        <w:jc w:val="center"/>
      </w:pPr>
      <w:r>
        <w:rPr>
          <w:noProof/>
        </w:rPr>
        <w:drawing>
          <wp:inline distT="0" distB="0" distL="0" distR="0" wp14:anchorId="38E36A16" wp14:editId="1F04D53F">
            <wp:extent cx="5943600" cy="298132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4E46" w:rsidRDefault="00AC7D08" w:rsidP="00AC7D08">
      <w:pPr>
        <w:jc w:val="right"/>
      </w:pPr>
      <w:r>
        <w:t>Figure 3</w:t>
      </w:r>
    </w:p>
    <w:p w:rsidR="00DD4E46" w:rsidRDefault="003601F0" w:rsidP="0082361D">
      <w:pPr>
        <w:jc w:val="center"/>
      </w:pPr>
      <w:r>
        <w:rPr>
          <w:noProof/>
        </w:rPr>
        <w:drawing>
          <wp:inline distT="0" distB="0" distL="0" distR="0" wp14:anchorId="38CFEB16" wp14:editId="55F1A13A">
            <wp:extent cx="5781675" cy="32099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1880" w:rsidRDefault="00AF1880" w:rsidP="00AF1880">
      <w:pPr>
        <w:jc w:val="right"/>
      </w:pPr>
      <w:r>
        <w:t xml:space="preserve">Figure </w:t>
      </w:r>
      <w:r w:rsidR="00AC7D08">
        <w:t>4</w:t>
      </w:r>
    </w:p>
    <w:p w:rsidR="00DD4E46" w:rsidRDefault="00C221B7" w:rsidP="0082361D">
      <w:pPr>
        <w:jc w:val="center"/>
      </w:pPr>
      <w:r>
        <w:rPr>
          <w:noProof/>
        </w:rPr>
        <w:lastRenderedPageBreak/>
        <w:drawing>
          <wp:inline distT="0" distB="0" distL="0" distR="0" wp14:anchorId="33C39C6E" wp14:editId="3785012C">
            <wp:extent cx="5286375" cy="247650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221B7" w:rsidRDefault="00AF1880" w:rsidP="00AF1880">
      <w:pPr>
        <w:jc w:val="right"/>
      </w:pPr>
      <w:r>
        <w:t xml:space="preserve">Figure </w:t>
      </w:r>
      <w:r w:rsidR="00AC7D08">
        <w:t>5</w:t>
      </w:r>
    </w:p>
    <w:p w:rsidR="00AC7D08" w:rsidRDefault="00AC7D08" w:rsidP="00AC7D08">
      <w:pPr>
        <w:rPr>
          <w:rFonts w:ascii="Eras Bold ITC" w:hAnsi="Eras Bold ITC"/>
          <w:sz w:val="28"/>
          <w:szCs w:val="28"/>
        </w:rPr>
      </w:pPr>
      <w:r>
        <w:rPr>
          <w:rFonts w:ascii="Eras Bold ITC" w:hAnsi="Eras Bold ITC"/>
          <w:sz w:val="28"/>
          <w:szCs w:val="28"/>
        </w:rPr>
        <w:t>NON-TIF PARCELS</w:t>
      </w:r>
    </w:p>
    <w:p w:rsidR="00AF1880" w:rsidRDefault="000A62EE" w:rsidP="00257CD2">
      <w:r>
        <w:t>Non-TIF land parcels during the first half of the study period, 1994 - ~2004/2005, are increasing gradually with little fluctuation in rate of increase</w:t>
      </w:r>
      <w:r w:rsidR="00C1642A">
        <w:t xml:space="preserve"> with n</w:t>
      </w:r>
      <w:r>
        <w:t>on-TIF values inside Grand Island city limits increasing a bit faster, driven primarily by Grand Island commercial parcels (GI residential trending upward</w:t>
      </w:r>
      <w:r w:rsidR="0074391A">
        <w:t xml:space="preserve"> as well, but</w:t>
      </w:r>
      <w:r>
        <w:t xml:space="preserve"> flatter).  Rural land values are also increasing similarly during this period, but smaller town parcels hardly changing at all the entire period.  Land parcels within 1/8</w:t>
      </w:r>
      <w:r w:rsidRPr="000A62EE">
        <w:rPr>
          <w:vertAlign w:val="superscript"/>
        </w:rPr>
        <w:t>th</w:t>
      </w:r>
      <w:r>
        <w:t xml:space="preserve"> of a mile of a soon-to-be TIF project, though, are increasing generally, but also a slower rate, lending weight to the notion that a TIF was generally located within a neighborhood, or small area of relatively depressing land values (Figure 6)</w:t>
      </w:r>
      <w:r w:rsidR="00ED15D0">
        <w:rPr>
          <w:rStyle w:val="FootnoteReference"/>
        </w:rPr>
        <w:footnoteReference w:id="3"/>
      </w:r>
      <w:r>
        <w:t>.</w:t>
      </w:r>
    </w:p>
    <w:p w:rsidR="00754D23" w:rsidRDefault="00754D23" w:rsidP="00754D23">
      <w:r>
        <w:t>Post-2004, since institution of TIF projects in Grand Island, land valuation curves tell a different story.  Non-TIF land values seemed to have slowed in their increase. In Grand Island, commercial non-TIF parcels are more actively increasing in valuation; residential non-TIF has been flat until just the last year or so.  Parcels adjacent to pending TIF zones during this time are also flat, with perhaps even a slight loss in value</w:t>
      </w:r>
      <w:r w:rsidR="0074391A">
        <w:t>, more on this later</w:t>
      </w:r>
      <w:r>
        <w:t>.   Small town values have changed very little over this time period.  These valuation curves differ substantially from those attached to TIF project parcels.</w:t>
      </w:r>
    </w:p>
    <w:p w:rsidR="00754D23" w:rsidRDefault="00754D23" w:rsidP="00257CD2"/>
    <w:p w:rsidR="00754D23" w:rsidRDefault="00754D23" w:rsidP="00257CD2"/>
    <w:p w:rsidR="00754D23" w:rsidRDefault="00754D23" w:rsidP="00257CD2"/>
    <w:p w:rsidR="00754D23" w:rsidRDefault="00754D23" w:rsidP="00257CD2"/>
    <w:p w:rsidR="00D11CB3" w:rsidRDefault="00D11CB3" w:rsidP="00D11CB3">
      <w:pPr>
        <w:jc w:val="center"/>
        <w:rPr>
          <w:noProof/>
        </w:rPr>
      </w:pPr>
      <w:r>
        <w:rPr>
          <w:b/>
          <w:i/>
          <w:sz w:val="28"/>
          <w:szCs w:val="28"/>
        </w:rPr>
        <w:lastRenderedPageBreak/>
        <w:t>NON-TIF PARCELS BY LOCATIONAL GROUP</w:t>
      </w:r>
    </w:p>
    <w:p w:rsidR="000A62EE" w:rsidRDefault="000A62EE" w:rsidP="00257CD2">
      <w:r>
        <w:rPr>
          <w:noProof/>
        </w:rPr>
        <w:drawing>
          <wp:inline distT="0" distB="0" distL="0" distR="0" wp14:anchorId="2B46A35E" wp14:editId="64D011F7">
            <wp:extent cx="6181725" cy="490537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25896" w:rsidRDefault="0082361D" w:rsidP="0082361D">
      <w:pPr>
        <w:jc w:val="right"/>
      </w:pPr>
      <w:r>
        <w:t>Figure 6</w:t>
      </w:r>
    </w:p>
    <w:p w:rsidR="00F61750" w:rsidRDefault="00F61750" w:rsidP="00C16BE2">
      <w:pPr>
        <w:rPr>
          <w:rFonts w:ascii="Eras Bold ITC" w:hAnsi="Eras Bold ITC"/>
          <w:sz w:val="28"/>
          <w:szCs w:val="28"/>
        </w:rPr>
      </w:pPr>
    </w:p>
    <w:p w:rsidR="00F61750" w:rsidRDefault="00F61750" w:rsidP="00C16BE2">
      <w:pPr>
        <w:rPr>
          <w:rFonts w:ascii="Eras Bold ITC" w:hAnsi="Eras Bold ITC"/>
          <w:sz w:val="28"/>
          <w:szCs w:val="28"/>
        </w:rPr>
      </w:pPr>
    </w:p>
    <w:p w:rsidR="003D47D1" w:rsidRDefault="003D47D1" w:rsidP="00C16BE2">
      <w:pPr>
        <w:rPr>
          <w:rFonts w:ascii="Eras Bold ITC" w:hAnsi="Eras Bold ITC"/>
          <w:sz w:val="28"/>
          <w:szCs w:val="28"/>
        </w:rPr>
      </w:pPr>
    </w:p>
    <w:p w:rsidR="003D47D1" w:rsidRDefault="003D47D1" w:rsidP="00C16BE2">
      <w:pPr>
        <w:rPr>
          <w:rFonts w:ascii="Eras Bold ITC" w:hAnsi="Eras Bold ITC"/>
          <w:sz w:val="28"/>
          <w:szCs w:val="28"/>
        </w:rPr>
      </w:pPr>
    </w:p>
    <w:p w:rsidR="003D47D1" w:rsidRDefault="003D47D1" w:rsidP="00C16BE2">
      <w:pPr>
        <w:rPr>
          <w:rFonts w:ascii="Eras Bold ITC" w:hAnsi="Eras Bold ITC"/>
          <w:sz w:val="28"/>
          <w:szCs w:val="28"/>
        </w:rPr>
      </w:pPr>
    </w:p>
    <w:p w:rsidR="003D47D1" w:rsidRDefault="003D47D1" w:rsidP="00C16BE2">
      <w:pPr>
        <w:rPr>
          <w:rFonts w:ascii="Eras Bold ITC" w:hAnsi="Eras Bold ITC"/>
          <w:sz w:val="28"/>
          <w:szCs w:val="28"/>
        </w:rPr>
      </w:pPr>
    </w:p>
    <w:p w:rsidR="00C16BE2" w:rsidRDefault="00C16BE2" w:rsidP="00C16BE2">
      <w:pPr>
        <w:rPr>
          <w:rFonts w:ascii="Eras Bold ITC" w:hAnsi="Eras Bold ITC"/>
          <w:sz w:val="28"/>
          <w:szCs w:val="28"/>
        </w:rPr>
      </w:pPr>
      <w:r>
        <w:rPr>
          <w:rFonts w:ascii="Eras Bold ITC" w:hAnsi="Eras Bold ITC"/>
          <w:sz w:val="28"/>
          <w:szCs w:val="28"/>
        </w:rPr>
        <w:lastRenderedPageBreak/>
        <w:t>NON-TIF PARCELS ADJACENT TO TIF PARCELS</w:t>
      </w:r>
    </w:p>
    <w:p w:rsidR="00C16BE2" w:rsidRDefault="00D540A7" w:rsidP="00257CD2">
      <w:r>
        <w:t>In order to examine the issue of the proximal impact of TIF projects we selected parcels that were within a short distance of any TIF project, to see if they displayed a different valuation change pattern than other non-TIF parcels—it was expected that they would be more similar with TIF parcels than non-TIF parcels. The first subset of adjacent parcels consisted only of those parcels within 1/8 of a mile of a TIF project.</w:t>
      </w:r>
    </w:p>
    <w:p w:rsidR="00D540A7" w:rsidRPr="00D540A7" w:rsidRDefault="00D540A7" w:rsidP="0082361D">
      <w:pPr>
        <w:jc w:val="center"/>
        <w:rPr>
          <w:b/>
          <w:i/>
          <w:sz w:val="28"/>
          <w:szCs w:val="28"/>
        </w:rPr>
      </w:pPr>
      <w:r w:rsidRPr="00D540A7">
        <w:rPr>
          <w:b/>
          <w:i/>
          <w:sz w:val="28"/>
          <w:szCs w:val="28"/>
        </w:rPr>
        <w:t>NON-TIF PARCELS WITHIN 1/8 MILE OF TIF PROJECT – TOTAL ASSESSED VALUE</w:t>
      </w:r>
    </w:p>
    <w:p w:rsidR="00D540A7" w:rsidRDefault="00D540A7" w:rsidP="0082361D">
      <w:pPr>
        <w:jc w:val="center"/>
      </w:pPr>
      <w:r>
        <w:rPr>
          <w:noProof/>
        </w:rPr>
        <w:drawing>
          <wp:inline distT="0" distB="0" distL="0" distR="0" wp14:anchorId="1E8DDAD6" wp14:editId="43111005">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2361D" w:rsidRDefault="0082361D" w:rsidP="0082361D">
      <w:pPr>
        <w:jc w:val="right"/>
      </w:pPr>
      <w:r>
        <w:t>Figure 7</w:t>
      </w:r>
    </w:p>
    <w:p w:rsidR="007C516B" w:rsidRDefault="007C516B" w:rsidP="00257CD2">
      <w:r>
        <w:t>Up until about 2007 these adjacent non-TIF parcels change very similarly to non-TIF in general, but then, instead of continuing to rise, the begin to flatten out, even decline a bit before rebounding to flat.  Since these parcels are all parcels in Grand Island alone, we selected out Grand Island parcels from the rest of Hall county, and then again by Grand Island commercial and Grand Island residential</w:t>
      </w:r>
      <w:r w:rsidR="003D47D1">
        <w:t xml:space="preserve"> (Figure 8)</w:t>
      </w:r>
      <w:r>
        <w:t>.  In these two groups a noticeable distinction shows up: residential parcels all over the city flattened out</w:t>
      </w:r>
      <w:r w:rsidR="00485CFF">
        <w:t xml:space="preserve"> in 2005 continuing flat through the peak 2008</w:t>
      </w:r>
      <w:r>
        <w:t xml:space="preserve"> housing crisis, a massive  external event that may have had an overriding influence on city housing</w:t>
      </w:r>
      <w:r w:rsidR="002F0C36">
        <w:t>, depressing residential values</w:t>
      </w:r>
      <w:r>
        <w:t xml:space="preserve"> across the entire U.S. including Grand Island (see below).</w:t>
      </w:r>
      <w:r w:rsidR="00485CFF">
        <w:t xml:space="preserve"> Some valuation rebound may be evident in the last year or so.</w:t>
      </w:r>
    </w:p>
    <w:p w:rsidR="003D47D1" w:rsidRDefault="003D47D1" w:rsidP="00257CD2"/>
    <w:p w:rsidR="003D47D1" w:rsidRDefault="003D47D1" w:rsidP="003D47D1">
      <w:pPr>
        <w:jc w:val="center"/>
      </w:pPr>
      <w:r>
        <w:rPr>
          <w:noProof/>
        </w:rPr>
        <w:lastRenderedPageBreak/>
        <w:drawing>
          <wp:inline distT="0" distB="0" distL="0" distR="0">
            <wp:extent cx="5486400" cy="548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TIFGraphi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3D47D1" w:rsidRDefault="003D47D1" w:rsidP="003D47D1">
      <w:pPr>
        <w:jc w:val="right"/>
      </w:pPr>
      <w:r>
        <w:t>Figure 8</w:t>
      </w:r>
    </w:p>
    <w:p w:rsidR="003D47D1" w:rsidRDefault="003D47D1" w:rsidP="003D47D1">
      <w:pPr>
        <w:jc w:val="right"/>
      </w:pPr>
    </w:p>
    <w:p w:rsidR="003D47D1" w:rsidRDefault="003D47D1" w:rsidP="003D47D1">
      <w:pPr>
        <w:jc w:val="right"/>
      </w:pPr>
    </w:p>
    <w:p w:rsidR="003D47D1" w:rsidRDefault="003D47D1" w:rsidP="003D47D1">
      <w:pPr>
        <w:jc w:val="right"/>
      </w:pPr>
    </w:p>
    <w:p w:rsidR="003D47D1" w:rsidRDefault="003D47D1" w:rsidP="003D47D1">
      <w:pPr>
        <w:jc w:val="right"/>
      </w:pPr>
    </w:p>
    <w:p w:rsidR="003D47D1" w:rsidRDefault="003D47D1" w:rsidP="003D47D1">
      <w:pPr>
        <w:jc w:val="right"/>
      </w:pPr>
    </w:p>
    <w:p w:rsidR="003D47D1" w:rsidRDefault="003D47D1" w:rsidP="003D47D1">
      <w:pPr>
        <w:jc w:val="right"/>
      </w:pPr>
    </w:p>
    <w:p w:rsidR="003D47D1" w:rsidRPr="00D540A7" w:rsidRDefault="003D47D1" w:rsidP="003D47D1">
      <w:pPr>
        <w:jc w:val="center"/>
        <w:rPr>
          <w:b/>
          <w:i/>
          <w:sz w:val="28"/>
          <w:szCs w:val="28"/>
        </w:rPr>
      </w:pPr>
      <w:r>
        <w:rPr>
          <w:b/>
          <w:i/>
          <w:sz w:val="28"/>
          <w:szCs w:val="28"/>
        </w:rPr>
        <w:lastRenderedPageBreak/>
        <w:t xml:space="preserve">GRAND ISLAND RESIDENTIAL </w:t>
      </w:r>
      <w:r w:rsidRPr="00D540A7">
        <w:rPr>
          <w:b/>
          <w:i/>
          <w:sz w:val="28"/>
          <w:szCs w:val="28"/>
        </w:rPr>
        <w:t>NON-TIF PARCELS – TOTAL ASSESSED VALUE</w:t>
      </w:r>
    </w:p>
    <w:p w:rsidR="007C516B" w:rsidRDefault="00306526" w:rsidP="0082361D">
      <w:pPr>
        <w:jc w:val="center"/>
      </w:pPr>
      <w:r>
        <w:rPr>
          <w:noProof/>
        </w:rPr>
        <w:drawing>
          <wp:inline distT="0" distB="0" distL="0" distR="0" wp14:anchorId="3CA99236" wp14:editId="505AECFF">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2361D" w:rsidRDefault="0082361D" w:rsidP="0082361D">
      <w:pPr>
        <w:jc w:val="right"/>
      </w:pPr>
      <w:r>
        <w:t xml:space="preserve">Figure </w:t>
      </w:r>
      <w:r w:rsidR="003D47D1">
        <w:t>9</w:t>
      </w:r>
    </w:p>
    <w:p w:rsidR="00306526" w:rsidRPr="00D540A7" w:rsidRDefault="00306526" w:rsidP="0082361D">
      <w:pPr>
        <w:jc w:val="center"/>
        <w:rPr>
          <w:b/>
          <w:i/>
          <w:sz w:val="28"/>
          <w:szCs w:val="28"/>
        </w:rPr>
      </w:pPr>
      <w:r>
        <w:rPr>
          <w:b/>
          <w:i/>
          <w:sz w:val="28"/>
          <w:szCs w:val="28"/>
        </w:rPr>
        <w:t xml:space="preserve">GRAND ISLAND COMMERCIAL </w:t>
      </w:r>
      <w:r w:rsidRPr="00D540A7">
        <w:rPr>
          <w:b/>
          <w:i/>
          <w:sz w:val="28"/>
          <w:szCs w:val="28"/>
        </w:rPr>
        <w:t>NON-TIF PARCELS – TOTAL ASSESSED VALUE</w:t>
      </w:r>
    </w:p>
    <w:p w:rsidR="00306526" w:rsidRDefault="00306526" w:rsidP="0082361D">
      <w:pPr>
        <w:jc w:val="center"/>
      </w:pPr>
      <w:r>
        <w:rPr>
          <w:noProof/>
        </w:rPr>
        <w:drawing>
          <wp:inline distT="0" distB="0" distL="0" distR="0" wp14:anchorId="4B42C223" wp14:editId="5B1E87D6">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2361D" w:rsidRDefault="0082361D" w:rsidP="0082361D">
      <w:pPr>
        <w:jc w:val="right"/>
      </w:pPr>
      <w:r>
        <w:t xml:space="preserve">Figure </w:t>
      </w:r>
      <w:r w:rsidR="003D47D1">
        <w:t>10</w:t>
      </w:r>
    </w:p>
    <w:p w:rsidR="00A676A4" w:rsidRDefault="00A676A4" w:rsidP="00A676A4">
      <w:pPr>
        <w:rPr>
          <w:rFonts w:ascii="Eras Bold ITC" w:hAnsi="Eras Bold ITC"/>
        </w:rPr>
      </w:pPr>
    </w:p>
    <w:p w:rsidR="00A676A4" w:rsidRDefault="00A676A4" w:rsidP="00A676A4">
      <w:pPr>
        <w:rPr>
          <w:rFonts w:ascii="Eras Bold ITC" w:hAnsi="Eras Bold ITC"/>
        </w:rPr>
      </w:pPr>
    </w:p>
    <w:p w:rsidR="00A676A4" w:rsidRPr="00F8600C" w:rsidRDefault="00A676A4" w:rsidP="00A676A4">
      <w:pPr>
        <w:rPr>
          <w:rFonts w:ascii="Eras Bold ITC" w:hAnsi="Eras Bold ITC"/>
        </w:rPr>
      </w:pPr>
      <w:r>
        <w:rPr>
          <w:rFonts w:ascii="Eras Bold ITC" w:hAnsi="Eras Bold ITC"/>
        </w:rPr>
        <w:lastRenderedPageBreak/>
        <w:t>THE TIF-ADJACENCY FACTOR</w:t>
      </w:r>
    </w:p>
    <w:p w:rsidR="00227971" w:rsidRDefault="00A676A4" w:rsidP="00227971">
      <w:r>
        <w:t xml:space="preserve">Non-TIF commercial parcels varied differently over this span of time: valuation growth was much steadier despite a two-year aberration (2014-2015), although the slope of positive change diminished beginning 2006. </w:t>
      </w:r>
      <w:r w:rsidR="00227971">
        <w:t>This was similar to residential parcels</w:t>
      </w:r>
      <w:r w:rsidR="00C415B7">
        <w:t xml:space="preserve"> prior to the period between 2005-2007</w:t>
      </w:r>
      <w:r w:rsidR="00227971">
        <w:t>, but to a much lesser degree</w:t>
      </w:r>
      <w:r w:rsidR="00C415B7">
        <w:t xml:space="preserve"> after that</w:t>
      </w:r>
      <w:r w:rsidR="00227971">
        <w:t>, suggesting that external depressional forces are influential and may even over-ride potential extended TIF impacts nearby.  So we dove deeper in selecting adjacent parcels to see how far from TIF designations might parcels be affected if at all, by further parsing out parcels within the 1/8</w:t>
      </w:r>
      <w:r w:rsidR="00227971" w:rsidRPr="00227971">
        <w:rPr>
          <w:vertAlign w:val="superscript"/>
        </w:rPr>
        <w:t>th</w:t>
      </w:r>
      <w:r w:rsidR="00227971">
        <w:t xml:space="preserve"> mile range into groups of 264’ (0.05 mile), and  528’ (0.1 mile)</w:t>
      </w:r>
      <w:r w:rsidR="00C415B7">
        <w:t>—</w:t>
      </w:r>
      <w:r w:rsidR="00227971">
        <w:t>beyond</w:t>
      </w:r>
      <w:r w:rsidR="00C415B7">
        <w:t xml:space="preserve"> </w:t>
      </w:r>
      <w:r w:rsidR="00227971">
        <w:t xml:space="preserve">this distance </w:t>
      </w:r>
      <w:r w:rsidR="00C415B7">
        <w:t>any potential adjacency influence was not noticeable</w:t>
      </w:r>
      <w:r w:rsidR="00227971">
        <w:t>. We also examined valuation changes within these two adjacency groups relative to whether the TIF project was Residential or Commercial</w:t>
      </w:r>
      <w:r w:rsidR="00E7129E">
        <w:t xml:space="preserve">, yielding </w:t>
      </w:r>
      <w:r w:rsidR="00F8600C">
        <w:t>eight</w:t>
      </w:r>
      <w:r w:rsidR="00E7129E">
        <w:t xml:space="preserve"> groups</w:t>
      </w:r>
      <w:r w:rsidR="00F8600C">
        <w:t>:</w:t>
      </w:r>
      <w:r w:rsidR="00E7129E">
        <w:t xml:space="preserve"> </w:t>
      </w:r>
      <w:r w:rsidR="00F8600C">
        <w:t>four</w:t>
      </w:r>
      <w:r w:rsidR="00E7129E">
        <w:t xml:space="preserve"> groups within 264’ of a TIF and </w:t>
      </w:r>
      <w:r w:rsidR="00F8600C">
        <w:t>four</w:t>
      </w:r>
      <w:r w:rsidR="00E7129E">
        <w:t xml:space="preserve"> groups between 264-528’ of a TIF</w:t>
      </w:r>
      <w:r w:rsidR="00F8600C">
        <w:t>.</w:t>
      </w:r>
    </w:p>
    <w:p w:rsidR="00E7129E" w:rsidRDefault="00E7129E" w:rsidP="00E7129E">
      <w:pPr>
        <w:pStyle w:val="ListParagraph"/>
        <w:numPr>
          <w:ilvl w:val="0"/>
          <w:numId w:val="2"/>
        </w:numPr>
      </w:pPr>
      <w:r>
        <w:t>Residential parcels adjacent to Residential TIF</w:t>
      </w:r>
    </w:p>
    <w:p w:rsidR="00E7129E" w:rsidRDefault="00E7129E" w:rsidP="00E7129E">
      <w:pPr>
        <w:pStyle w:val="ListParagraph"/>
        <w:numPr>
          <w:ilvl w:val="0"/>
          <w:numId w:val="2"/>
        </w:numPr>
      </w:pPr>
      <w:r>
        <w:t>Residential parcels adjacent to Commercial TIF</w:t>
      </w:r>
    </w:p>
    <w:p w:rsidR="00E7129E" w:rsidRDefault="00E7129E" w:rsidP="00E7129E">
      <w:pPr>
        <w:pStyle w:val="ListParagraph"/>
        <w:numPr>
          <w:ilvl w:val="0"/>
          <w:numId w:val="2"/>
        </w:numPr>
      </w:pPr>
      <w:r>
        <w:t>Commercial parcels adjacent to Residential TIF</w:t>
      </w:r>
    </w:p>
    <w:p w:rsidR="00E7129E" w:rsidRDefault="00E7129E" w:rsidP="00E7129E">
      <w:pPr>
        <w:pStyle w:val="ListParagraph"/>
        <w:numPr>
          <w:ilvl w:val="0"/>
          <w:numId w:val="2"/>
        </w:numPr>
      </w:pPr>
      <w:r>
        <w:t>Commercial parcels to Commercial TIF</w:t>
      </w:r>
    </w:p>
    <w:p w:rsidR="00A676A4" w:rsidRDefault="00A676A4" w:rsidP="00E7129E">
      <w:r>
        <w:t xml:space="preserve">Any parcels that were adjacent to both a commercial and a residential TIF were excluded from the </w:t>
      </w:r>
      <w:r w:rsidR="00C415B7">
        <w:t xml:space="preserve">samples </w:t>
      </w:r>
      <w:r>
        <w:t>(See Figure 1</w:t>
      </w:r>
      <w:r w:rsidR="003D47D1">
        <w:t>1</w:t>
      </w:r>
      <w:r>
        <w:t>).</w:t>
      </w:r>
    </w:p>
    <w:p w:rsidR="00F8600C" w:rsidRDefault="00E7129E" w:rsidP="00E7129E">
      <w:r>
        <w:t xml:space="preserve"> </w:t>
      </w:r>
      <w:r w:rsidR="00910525">
        <w:t xml:space="preserve">In short, the impact of adjacency to TIF projects on valuation is slight but noticeable, </w:t>
      </w:r>
      <w:r w:rsidR="00C415B7">
        <w:t>but</w:t>
      </w:r>
      <w:r w:rsidR="00910525">
        <w:t xml:space="preserve"> that impact does not extend very far from the TIF boundary, probably less than 1/10</w:t>
      </w:r>
      <w:r w:rsidR="00910525">
        <w:rPr>
          <w:vertAlign w:val="superscript"/>
        </w:rPr>
        <w:t xml:space="preserve">th </w:t>
      </w:r>
      <w:r w:rsidR="00910525">
        <w:t>of a mile, and more likely less than 1/20</w:t>
      </w:r>
      <w:r w:rsidR="00910525" w:rsidRPr="00910525">
        <w:rPr>
          <w:vertAlign w:val="superscript"/>
        </w:rPr>
        <w:t>th</w:t>
      </w:r>
      <w:r w:rsidR="00910525">
        <w:t xml:space="preserve"> (264’). </w:t>
      </w:r>
    </w:p>
    <w:p w:rsidR="00DA68FE" w:rsidRDefault="00B37133" w:rsidP="00174DD5">
      <w:r>
        <w:t xml:space="preserve">Valuation change patterns </w:t>
      </w:r>
      <w:r w:rsidR="00C43233">
        <w:t xml:space="preserve">of </w:t>
      </w:r>
      <w:r>
        <w:t>residential parcels immediately adjacent to TIF projects, regardless if those TIF projects were residential or commercial, were still depressed  p</w:t>
      </w:r>
      <w:r w:rsidR="00910525">
        <w:t xml:space="preserve">ost-2005, but </w:t>
      </w:r>
      <w:r>
        <w:t>those within 264’ of a TIF project depressed at a noticeably slower rate (a much flatter post-2005 curve), than those further than 264’</w:t>
      </w:r>
      <w:r w:rsidR="006E5A5C">
        <w:t xml:space="preserve"> (See Figures 1</w:t>
      </w:r>
      <w:r w:rsidR="003D47D1">
        <w:t>2-</w:t>
      </w:r>
      <w:r w:rsidR="006E5A5C">
        <w:t>1</w:t>
      </w:r>
      <w:r w:rsidR="003D47D1">
        <w:t>5</w:t>
      </w:r>
      <w:r w:rsidR="006E5A5C">
        <w:t>)</w:t>
      </w:r>
      <w:r>
        <w:t>. Plus, if the TIF was commercial, it appears to have delayed the valuation depression by a couple years for those residential parcels immediately adjacent</w:t>
      </w:r>
      <w:r w:rsidR="00C43233">
        <w:t>. Valuation change patterns of commercial parcels, on the other hand, did not increase as much if they were within 264’ of a TIF project, than they did if they were beyond 264’; though there is evidence in the curves to suggest a lag effect on the commercial parcels nearest TIF projects, perhaps as much as 10 years</w:t>
      </w:r>
      <w:r w:rsidR="00C91330">
        <w:t xml:space="preserve">. </w:t>
      </w:r>
      <w:r w:rsidR="00174DD5">
        <w:t xml:space="preserve">The data suggest that a TIF-Adjacency-Factor </w:t>
      </w:r>
      <w:r w:rsidR="00C91330">
        <w:t>may</w:t>
      </w:r>
      <w:r w:rsidR="00174DD5">
        <w:t xml:space="preserve"> exist in many cases, but when it is present, its affect is subtle, weak, and dissipates fairly quickly with distance.</w:t>
      </w:r>
    </w:p>
    <w:p w:rsidR="006E5A5C" w:rsidRDefault="00A676A4" w:rsidP="00A676A4">
      <w:pPr>
        <w:jc w:val="center"/>
      </w:pPr>
      <w:r>
        <w:rPr>
          <w:noProof/>
        </w:rPr>
        <w:lastRenderedPageBreak/>
        <w:drawing>
          <wp:inline distT="0" distB="0" distL="0" distR="0" wp14:anchorId="6A80D4D4" wp14:editId="6B71C638">
            <wp:extent cx="5486400" cy="548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Sample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A676A4" w:rsidRDefault="00A676A4" w:rsidP="00A676A4">
      <w:pPr>
        <w:jc w:val="right"/>
      </w:pPr>
      <w:r>
        <w:t>Figure 1</w:t>
      </w:r>
      <w:r w:rsidR="003D47D1">
        <w:t>1</w:t>
      </w:r>
    </w:p>
    <w:p w:rsidR="006E5A5C" w:rsidRDefault="006E5A5C" w:rsidP="00257CD2"/>
    <w:p w:rsidR="006E5A5C" w:rsidRDefault="006E5A5C" w:rsidP="00257CD2"/>
    <w:p w:rsidR="006E5A5C" w:rsidRDefault="006E5A5C" w:rsidP="00257CD2"/>
    <w:p w:rsidR="006E5A5C" w:rsidRDefault="006E5A5C" w:rsidP="00257CD2"/>
    <w:p w:rsidR="006E5A5C" w:rsidRDefault="006E5A5C" w:rsidP="00257CD2"/>
    <w:p w:rsidR="006E5A5C" w:rsidRDefault="006E5A5C" w:rsidP="00257CD2"/>
    <w:p w:rsidR="006E5A5C" w:rsidRDefault="006E5A5C" w:rsidP="00257CD2"/>
    <w:p w:rsidR="0052326B" w:rsidRDefault="0052326B" w:rsidP="006E5A5C">
      <w:pPr>
        <w:spacing w:after="0"/>
        <w:jc w:val="center"/>
        <w:rPr>
          <w:b/>
          <w:i/>
          <w:sz w:val="28"/>
          <w:szCs w:val="28"/>
        </w:rPr>
      </w:pPr>
      <w:r>
        <w:rPr>
          <w:b/>
          <w:i/>
          <w:sz w:val="28"/>
          <w:szCs w:val="28"/>
        </w:rPr>
        <w:t>NON-TIF PARCELS WITHIN 264’</w:t>
      </w:r>
      <w:r w:rsidR="00821B1B">
        <w:rPr>
          <w:b/>
          <w:i/>
          <w:sz w:val="28"/>
          <w:szCs w:val="28"/>
        </w:rPr>
        <w:t xml:space="preserve"> COMPARED TO 264’-528’</w:t>
      </w:r>
    </w:p>
    <w:p w:rsidR="006E5A5C" w:rsidRPr="006E5A5C" w:rsidRDefault="006E5A5C" w:rsidP="006E5A5C">
      <w:pPr>
        <w:spacing w:after="0"/>
        <w:jc w:val="center"/>
        <w:rPr>
          <w:b/>
          <w:i/>
        </w:rPr>
      </w:pPr>
      <w:r w:rsidRPr="006E5A5C">
        <w:rPr>
          <w:b/>
          <w:i/>
        </w:rPr>
        <w:t>Residential TIF / Residential Parcels</w:t>
      </w:r>
    </w:p>
    <w:p w:rsidR="0052326B" w:rsidRDefault="006E5A5C" w:rsidP="00821B1B">
      <w:pPr>
        <w:jc w:val="center"/>
      </w:pPr>
      <w:r>
        <w:rPr>
          <w:noProof/>
        </w:rPr>
        <w:drawing>
          <wp:inline distT="0" distB="0" distL="0" distR="0" wp14:anchorId="56051F8E" wp14:editId="7D3FB983">
            <wp:extent cx="5434013" cy="2743200"/>
            <wp:effectExtent l="0" t="0" r="14605"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2C15" w:rsidRDefault="006E5A5C" w:rsidP="006E5A5C">
      <w:pPr>
        <w:jc w:val="right"/>
      </w:pPr>
      <w:r>
        <w:t>Figure 1</w:t>
      </w:r>
      <w:r w:rsidR="003D47D1">
        <w:t>2</w:t>
      </w:r>
    </w:p>
    <w:p w:rsidR="00C14E61" w:rsidRPr="006E5A5C" w:rsidRDefault="00C14E61" w:rsidP="00C14E61">
      <w:pPr>
        <w:spacing w:after="0"/>
        <w:jc w:val="center"/>
        <w:rPr>
          <w:b/>
          <w:i/>
        </w:rPr>
      </w:pPr>
      <w:r w:rsidRPr="006E5A5C">
        <w:rPr>
          <w:b/>
          <w:i/>
        </w:rPr>
        <w:t xml:space="preserve">Residential TIF / </w:t>
      </w:r>
      <w:r>
        <w:rPr>
          <w:b/>
          <w:i/>
        </w:rPr>
        <w:t>Commercial</w:t>
      </w:r>
      <w:r w:rsidRPr="006E5A5C">
        <w:rPr>
          <w:b/>
          <w:i/>
        </w:rPr>
        <w:t xml:space="preserve"> Parcels</w:t>
      </w:r>
    </w:p>
    <w:p w:rsidR="0082361D" w:rsidRDefault="00C14E61" w:rsidP="00C14E61">
      <w:pPr>
        <w:jc w:val="center"/>
        <w:rPr>
          <w:rFonts w:ascii="Eras Bold ITC" w:hAnsi="Eras Bold ITC"/>
          <w:sz w:val="28"/>
          <w:szCs w:val="28"/>
        </w:rPr>
      </w:pPr>
      <w:r>
        <w:rPr>
          <w:noProof/>
        </w:rPr>
        <w:drawing>
          <wp:inline distT="0" distB="0" distL="0" distR="0" wp14:anchorId="7DFBA649" wp14:editId="3A272BEA">
            <wp:extent cx="5405438" cy="2743200"/>
            <wp:effectExtent l="0" t="0" r="2413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14E61" w:rsidRDefault="00C14E61" w:rsidP="00C14E61">
      <w:pPr>
        <w:jc w:val="right"/>
      </w:pPr>
      <w:r>
        <w:t>Figure 1</w:t>
      </w:r>
      <w:r w:rsidR="003D47D1">
        <w:t>3</w:t>
      </w:r>
    </w:p>
    <w:p w:rsidR="00E17E70" w:rsidRDefault="00E17E70" w:rsidP="00C14E61">
      <w:pPr>
        <w:jc w:val="right"/>
      </w:pPr>
    </w:p>
    <w:p w:rsidR="00E17E70" w:rsidRDefault="00E17E70" w:rsidP="00C14E61">
      <w:pPr>
        <w:jc w:val="right"/>
      </w:pPr>
    </w:p>
    <w:p w:rsidR="00E17E70" w:rsidRPr="006E5A5C" w:rsidRDefault="00E17E70" w:rsidP="00E17E70">
      <w:pPr>
        <w:spacing w:after="0"/>
        <w:jc w:val="center"/>
        <w:rPr>
          <w:b/>
          <w:i/>
        </w:rPr>
      </w:pPr>
      <w:r>
        <w:rPr>
          <w:b/>
          <w:i/>
        </w:rPr>
        <w:lastRenderedPageBreak/>
        <w:t>Commercial</w:t>
      </w:r>
      <w:r w:rsidRPr="006E5A5C">
        <w:rPr>
          <w:b/>
          <w:i/>
        </w:rPr>
        <w:t xml:space="preserve"> TIF / </w:t>
      </w:r>
      <w:r>
        <w:rPr>
          <w:b/>
          <w:i/>
        </w:rPr>
        <w:t>Residential</w:t>
      </w:r>
      <w:r w:rsidRPr="006E5A5C">
        <w:rPr>
          <w:b/>
          <w:i/>
        </w:rPr>
        <w:t xml:space="preserve"> Parcels</w:t>
      </w:r>
    </w:p>
    <w:p w:rsidR="00C14E61" w:rsidRDefault="00E17E70" w:rsidP="00C14E61">
      <w:pPr>
        <w:jc w:val="center"/>
        <w:rPr>
          <w:rFonts w:ascii="Eras Bold ITC" w:hAnsi="Eras Bold ITC"/>
          <w:sz w:val="28"/>
          <w:szCs w:val="28"/>
        </w:rPr>
      </w:pPr>
      <w:r>
        <w:rPr>
          <w:noProof/>
        </w:rPr>
        <w:drawing>
          <wp:inline distT="0" distB="0" distL="0" distR="0" wp14:anchorId="1DBA6E75" wp14:editId="7E669D46">
            <wp:extent cx="5414963" cy="2743200"/>
            <wp:effectExtent l="0" t="0" r="1460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17E70" w:rsidRDefault="00E17E70" w:rsidP="00E17E70">
      <w:pPr>
        <w:jc w:val="right"/>
      </w:pPr>
      <w:r>
        <w:t>Figure 1</w:t>
      </w:r>
      <w:r w:rsidR="003D47D1">
        <w:t>4</w:t>
      </w:r>
    </w:p>
    <w:p w:rsidR="00E17E70" w:rsidRPr="006E5A5C" w:rsidRDefault="00E17E70" w:rsidP="00E17E70">
      <w:pPr>
        <w:spacing w:after="0"/>
        <w:jc w:val="center"/>
        <w:rPr>
          <w:b/>
          <w:i/>
        </w:rPr>
      </w:pPr>
      <w:r>
        <w:rPr>
          <w:b/>
          <w:i/>
        </w:rPr>
        <w:t>Commercial</w:t>
      </w:r>
      <w:r w:rsidRPr="006E5A5C">
        <w:rPr>
          <w:b/>
          <w:i/>
        </w:rPr>
        <w:t xml:space="preserve"> TIF / </w:t>
      </w:r>
      <w:r>
        <w:rPr>
          <w:b/>
          <w:i/>
        </w:rPr>
        <w:t>Commercial</w:t>
      </w:r>
      <w:r w:rsidRPr="006E5A5C">
        <w:rPr>
          <w:b/>
          <w:i/>
        </w:rPr>
        <w:t xml:space="preserve"> Parcels</w:t>
      </w:r>
    </w:p>
    <w:p w:rsidR="00C14E61" w:rsidRDefault="00E17E70" w:rsidP="00C14E61">
      <w:pPr>
        <w:jc w:val="center"/>
        <w:rPr>
          <w:rFonts w:ascii="Eras Bold ITC" w:hAnsi="Eras Bold ITC"/>
          <w:sz w:val="28"/>
          <w:szCs w:val="28"/>
        </w:rPr>
      </w:pPr>
      <w:r>
        <w:rPr>
          <w:noProof/>
        </w:rPr>
        <w:drawing>
          <wp:inline distT="0" distB="0" distL="0" distR="0" wp14:anchorId="20D588D2" wp14:editId="6F04D829">
            <wp:extent cx="5462588" cy="2743200"/>
            <wp:effectExtent l="0" t="0" r="2413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17E70" w:rsidRDefault="00E17E70" w:rsidP="00E17E70">
      <w:pPr>
        <w:jc w:val="right"/>
      </w:pPr>
      <w:r>
        <w:t>Figure 1</w:t>
      </w:r>
      <w:r w:rsidR="003D47D1">
        <w:t>5</w:t>
      </w:r>
    </w:p>
    <w:p w:rsidR="0082361D" w:rsidRDefault="0082361D" w:rsidP="007B2466">
      <w:pPr>
        <w:rPr>
          <w:rFonts w:ascii="Eras Bold ITC" w:hAnsi="Eras Bold ITC"/>
          <w:sz w:val="28"/>
          <w:szCs w:val="28"/>
        </w:rPr>
      </w:pPr>
    </w:p>
    <w:p w:rsidR="00E17E70" w:rsidRDefault="00E17E70" w:rsidP="007B2466">
      <w:pPr>
        <w:rPr>
          <w:rFonts w:ascii="Eras Bold ITC" w:hAnsi="Eras Bold ITC"/>
          <w:sz w:val="28"/>
          <w:szCs w:val="28"/>
        </w:rPr>
      </w:pPr>
    </w:p>
    <w:p w:rsidR="00E17E70" w:rsidRDefault="00E17E70" w:rsidP="007B2466">
      <w:pPr>
        <w:rPr>
          <w:rFonts w:ascii="Eras Bold ITC" w:hAnsi="Eras Bold ITC"/>
          <w:sz w:val="28"/>
          <w:szCs w:val="28"/>
        </w:rPr>
      </w:pPr>
    </w:p>
    <w:sectPr w:rsidR="00E17E70" w:rsidSect="00B21E3A">
      <w:headerReference w:type="even" r:id="rId24"/>
      <w:headerReference w:type="default" r:id="rId25"/>
      <w:footerReference w:type="even" r:id="rId26"/>
      <w:footerReference w:type="default" r:id="rId27"/>
      <w:headerReference w:type="first" r:id="rId28"/>
      <w:footerReference w:type="first" r:id="rId2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061" w:rsidRDefault="00196061" w:rsidP="007117D0">
      <w:pPr>
        <w:spacing w:after="0" w:line="240" w:lineRule="auto"/>
      </w:pPr>
      <w:r>
        <w:separator/>
      </w:r>
    </w:p>
  </w:endnote>
  <w:endnote w:type="continuationSeparator" w:id="0">
    <w:p w:rsidR="00196061" w:rsidRDefault="00196061" w:rsidP="00711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Futura XBlk BT">
    <w:altName w:val="Franklin Gothic Heavy"/>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11F" w:rsidRDefault="004E41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7D0" w:rsidRDefault="00535CC8">
    <w:pPr>
      <w:pStyle w:val="Footer"/>
    </w:pPr>
    <w:r w:rsidRPr="00535CC8">
      <w:rPr>
        <w:noProof/>
        <w:color w:val="4F81BD" w:themeColor="accent1"/>
      </w:rPr>
      <mc:AlternateContent>
        <mc:Choice Requires="wps">
          <w:drawing>
            <wp:anchor distT="0" distB="0" distL="114300" distR="114300" simplePos="0" relativeHeight="251659264" behindDoc="0" locked="0" layoutInCell="1" allowOverlap="1" wp14:anchorId="0AA440E6" wp14:editId="5A5A7632">
              <wp:simplePos x="0" y="0"/>
              <wp:positionH relativeFrom="page">
                <wp:align>center</wp:align>
              </wp:positionH>
              <wp:positionV relativeFrom="page">
                <wp:align>center</wp:align>
              </wp:positionV>
              <wp:extent cx="7364730" cy="9528810"/>
              <wp:effectExtent l="19050" t="19050" r="0" b="7620"/>
              <wp:wrapNone/>
              <wp:docPr id="40" name="Rectangle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12whtZ4CAACrBQAADgAAAAAAAAAAAAAAAAAuAgAAZHJzL2Uy&#10;b0RvYy54bWxQSwECLQAUAAYACAAAACEAd7q6XdsAAAAHAQAADwAAAAAAAAAAAAAAAAD4BAAAZHJz&#10;L2Rvd25yZXYueG1sUEsFBgAAAAAEAAQA8wAAAAAGAAAAAA==&#10;" filled="f" strokecolor="#938953 [1614]" strokeweight="2pt">
              <w10:wrap anchorx="page" anchory="page"/>
            </v:rect>
          </w:pict>
        </mc:Fallback>
      </mc:AlternateContent>
    </w:r>
    <w:r w:rsidRPr="00535CC8">
      <w:rPr>
        <w:color w:val="4F81BD" w:themeColor="accent1"/>
      </w:rPr>
      <w:t xml:space="preserve"> </w:t>
    </w:r>
    <w:r w:rsidRPr="00535CC8">
      <w:rPr>
        <w:rFonts w:asciiTheme="majorHAnsi" w:eastAsiaTheme="majorEastAsia" w:hAnsiTheme="majorHAnsi" w:cstheme="majorBidi"/>
        <w:color w:val="4F81BD" w:themeColor="accent1"/>
        <w:sz w:val="20"/>
        <w:szCs w:val="20"/>
      </w:rPr>
      <w:t xml:space="preserve">pg. </w:t>
    </w:r>
    <w:r w:rsidRPr="00535CC8">
      <w:rPr>
        <w:rFonts w:eastAsiaTheme="minorEastAsia"/>
        <w:color w:val="4F81BD" w:themeColor="accent1"/>
        <w:sz w:val="20"/>
        <w:szCs w:val="20"/>
      </w:rPr>
      <w:fldChar w:fldCharType="begin"/>
    </w:r>
    <w:r w:rsidRPr="00535CC8">
      <w:rPr>
        <w:color w:val="4F81BD" w:themeColor="accent1"/>
        <w:sz w:val="20"/>
        <w:szCs w:val="20"/>
      </w:rPr>
      <w:instrText xml:space="preserve"> PAGE    \* MERGEFORMAT </w:instrText>
    </w:r>
    <w:r w:rsidRPr="00535CC8">
      <w:rPr>
        <w:rFonts w:eastAsiaTheme="minorEastAsia"/>
        <w:color w:val="4F81BD" w:themeColor="accent1"/>
        <w:sz w:val="20"/>
        <w:szCs w:val="20"/>
      </w:rPr>
      <w:fldChar w:fldCharType="separate"/>
    </w:r>
    <w:r w:rsidR="006928A0" w:rsidRPr="006928A0">
      <w:rPr>
        <w:rFonts w:asciiTheme="majorHAnsi" w:eastAsiaTheme="majorEastAsia" w:hAnsiTheme="majorHAnsi" w:cstheme="majorBidi"/>
        <w:noProof/>
        <w:color w:val="4F81BD" w:themeColor="accent1"/>
        <w:sz w:val="20"/>
        <w:szCs w:val="20"/>
      </w:rPr>
      <w:t>3</w:t>
    </w:r>
    <w:r w:rsidRPr="00535CC8">
      <w:rPr>
        <w:rFonts w:asciiTheme="majorHAnsi" w:eastAsiaTheme="majorEastAsia" w:hAnsiTheme="majorHAnsi" w:cstheme="majorBidi"/>
        <w:noProof/>
        <w:color w:val="4F81BD" w:themeColor="accent1"/>
        <w:sz w:val="20"/>
        <w:szCs w:val="20"/>
      </w:rPr>
      <w:fldChar w:fldCharType="end"/>
    </w:r>
    <w:r>
      <w:rPr>
        <w:noProof/>
      </w:rPr>
      <w:drawing>
        <wp:inline distT="0" distB="0" distL="0" distR="0" wp14:anchorId="5B75304F" wp14:editId="39CB1FDD">
          <wp:extent cx="1216819" cy="6953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MapStamp.gif"/>
                  <pic:cNvPicPr/>
                </pic:nvPicPr>
                <pic:blipFill>
                  <a:blip r:embed="rId1">
                    <a:extLst>
                      <a:ext uri="{28A0092B-C50C-407E-A947-70E740481C1C}">
                        <a14:useLocalDpi xmlns:a14="http://schemas.microsoft.com/office/drawing/2010/main" val="0"/>
                      </a:ext>
                    </a:extLst>
                  </a:blip>
                  <a:stretch>
                    <a:fillRect/>
                  </a:stretch>
                </pic:blipFill>
                <pic:spPr>
                  <a:xfrm>
                    <a:off x="0" y="0"/>
                    <a:ext cx="1216819" cy="695325"/>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11F" w:rsidRDefault="004E41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061" w:rsidRDefault="00196061" w:rsidP="007117D0">
      <w:pPr>
        <w:spacing w:after="0" w:line="240" w:lineRule="auto"/>
      </w:pPr>
      <w:r>
        <w:separator/>
      </w:r>
    </w:p>
  </w:footnote>
  <w:footnote w:type="continuationSeparator" w:id="0">
    <w:p w:rsidR="00196061" w:rsidRDefault="00196061" w:rsidP="007117D0">
      <w:pPr>
        <w:spacing w:after="0" w:line="240" w:lineRule="auto"/>
      </w:pPr>
      <w:r>
        <w:continuationSeparator/>
      </w:r>
    </w:p>
  </w:footnote>
  <w:footnote w:id="1">
    <w:p w:rsidR="007008BB" w:rsidRDefault="007008BB">
      <w:pPr>
        <w:pStyle w:val="FootnoteText"/>
      </w:pPr>
      <w:r>
        <w:rPr>
          <w:rStyle w:val="FootnoteReference"/>
        </w:rPr>
        <w:footnoteRef/>
      </w:r>
      <w:r>
        <w:t xml:space="preserve"> Negative slope (</w:t>
      </w:r>
      <w:r w:rsidR="0082361D">
        <w:t>-</w:t>
      </w:r>
      <w:r>
        <w:t>122,710); Positi</w:t>
      </w:r>
      <w:r w:rsidR="0082361D">
        <w:t>ve slope all years (+2,645,778);</w:t>
      </w:r>
      <w:r>
        <w:t xml:space="preserve"> Positive slope minus last two years (+768,435).</w:t>
      </w:r>
      <w:r w:rsidR="0091196E">
        <w:t xml:space="preserve"> Non-TIF parcels (+61,652,203)</w:t>
      </w:r>
      <w:r w:rsidR="00B03BC8">
        <w:t>. Cumulative valuations attributable to improvements only increased dramatically the last two years in the database provided; land values, too, but less dramatically.</w:t>
      </w:r>
    </w:p>
  </w:footnote>
  <w:footnote w:id="2">
    <w:p w:rsidR="00CC1B2F" w:rsidRDefault="00CC1B2F" w:rsidP="00CC1B2F">
      <w:pPr>
        <w:pStyle w:val="FootnoteText"/>
      </w:pPr>
      <w:r>
        <w:rPr>
          <w:rStyle w:val="FootnoteReference"/>
        </w:rPr>
        <w:footnoteRef/>
      </w:r>
      <w:r>
        <w:t xml:space="preserve"> The downturn in 2016 TIF parcels comes from one parcel (2017 Broadwell Ave N), that lost all its improvements valuation in those final years, from $3,000,000+ to $0, perhaps from being razed, as their appears to be nothing on that parcel now.</w:t>
      </w:r>
    </w:p>
  </w:footnote>
  <w:footnote w:id="3">
    <w:p w:rsidR="00ED15D0" w:rsidRDefault="00ED15D0">
      <w:pPr>
        <w:pStyle w:val="FootnoteText"/>
      </w:pPr>
      <w:r>
        <w:rPr>
          <w:rStyle w:val="FootnoteReference"/>
        </w:rPr>
        <w:footnoteRef/>
      </w:r>
      <w:r>
        <w:t xml:space="preserve"> Not all towns outside Grand Island were sampled.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11F" w:rsidRDefault="004E41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7D0" w:rsidRDefault="007117D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rsidR="007117D0" w:rsidRDefault="007117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11F" w:rsidRDefault="004E41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70EFA"/>
    <w:multiLevelType w:val="hybridMultilevel"/>
    <w:tmpl w:val="A30C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E37C40"/>
    <w:multiLevelType w:val="hybridMultilevel"/>
    <w:tmpl w:val="01B2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9E00F4"/>
    <w:multiLevelType w:val="hybridMultilevel"/>
    <w:tmpl w:val="9D680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406"/>
    <w:rsid w:val="00021BB5"/>
    <w:rsid w:val="0004345B"/>
    <w:rsid w:val="000464A2"/>
    <w:rsid w:val="00096070"/>
    <w:rsid w:val="000A62EE"/>
    <w:rsid w:val="000B74A2"/>
    <w:rsid w:val="000E5519"/>
    <w:rsid w:val="001104F1"/>
    <w:rsid w:val="001136C9"/>
    <w:rsid w:val="00113E22"/>
    <w:rsid w:val="0011563A"/>
    <w:rsid w:val="00122F43"/>
    <w:rsid w:val="0013062F"/>
    <w:rsid w:val="00174DD5"/>
    <w:rsid w:val="00196061"/>
    <w:rsid w:val="001D2B3F"/>
    <w:rsid w:val="00227971"/>
    <w:rsid w:val="00257CD2"/>
    <w:rsid w:val="00263BF8"/>
    <w:rsid w:val="0029379D"/>
    <w:rsid w:val="002B4378"/>
    <w:rsid w:val="002C6433"/>
    <w:rsid w:val="002C6E6C"/>
    <w:rsid w:val="002D1F5B"/>
    <w:rsid w:val="002F0C36"/>
    <w:rsid w:val="00306526"/>
    <w:rsid w:val="0033071A"/>
    <w:rsid w:val="00334709"/>
    <w:rsid w:val="00344651"/>
    <w:rsid w:val="003601F0"/>
    <w:rsid w:val="00363E1D"/>
    <w:rsid w:val="003760C1"/>
    <w:rsid w:val="003D47D1"/>
    <w:rsid w:val="00400814"/>
    <w:rsid w:val="00407689"/>
    <w:rsid w:val="00410613"/>
    <w:rsid w:val="0042599C"/>
    <w:rsid w:val="004326C9"/>
    <w:rsid w:val="00461D48"/>
    <w:rsid w:val="0048135B"/>
    <w:rsid w:val="00485CFF"/>
    <w:rsid w:val="00497AD5"/>
    <w:rsid w:val="004C1957"/>
    <w:rsid w:val="004E411F"/>
    <w:rsid w:val="0052326B"/>
    <w:rsid w:val="00523F5A"/>
    <w:rsid w:val="005330E2"/>
    <w:rsid w:val="00534297"/>
    <w:rsid w:val="00535CC8"/>
    <w:rsid w:val="00542C15"/>
    <w:rsid w:val="0055204A"/>
    <w:rsid w:val="00557031"/>
    <w:rsid w:val="005816A7"/>
    <w:rsid w:val="00581FE1"/>
    <w:rsid w:val="005B2D2D"/>
    <w:rsid w:val="005C19E1"/>
    <w:rsid w:val="005C750D"/>
    <w:rsid w:val="00602495"/>
    <w:rsid w:val="00642B67"/>
    <w:rsid w:val="00661149"/>
    <w:rsid w:val="0066682A"/>
    <w:rsid w:val="006743D5"/>
    <w:rsid w:val="006928A0"/>
    <w:rsid w:val="006948F9"/>
    <w:rsid w:val="006A40B3"/>
    <w:rsid w:val="006D20A6"/>
    <w:rsid w:val="006E5A5C"/>
    <w:rsid w:val="007008BB"/>
    <w:rsid w:val="00707746"/>
    <w:rsid w:val="007117D0"/>
    <w:rsid w:val="00732890"/>
    <w:rsid w:val="0074391A"/>
    <w:rsid w:val="00754D23"/>
    <w:rsid w:val="00760E23"/>
    <w:rsid w:val="00791C58"/>
    <w:rsid w:val="00793139"/>
    <w:rsid w:val="007A49E8"/>
    <w:rsid w:val="007B2466"/>
    <w:rsid w:val="007C2993"/>
    <w:rsid w:val="007C516B"/>
    <w:rsid w:val="007C7D52"/>
    <w:rsid w:val="007E1380"/>
    <w:rsid w:val="00821B1B"/>
    <w:rsid w:val="0082361D"/>
    <w:rsid w:val="00825896"/>
    <w:rsid w:val="00833289"/>
    <w:rsid w:val="00846D48"/>
    <w:rsid w:val="008C7670"/>
    <w:rsid w:val="00910525"/>
    <w:rsid w:val="0091196E"/>
    <w:rsid w:val="00913734"/>
    <w:rsid w:val="009405D5"/>
    <w:rsid w:val="009413D8"/>
    <w:rsid w:val="00952912"/>
    <w:rsid w:val="00977515"/>
    <w:rsid w:val="009E4855"/>
    <w:rsid w:val="009E49E4"/>
    <w:rsid w:val="009F499A"/>
    <w:rsid w:val="00A03A5A"/>
    <w:rsid w:val="00A235E8"/>
    <w:rsid w:val="00A24B7D"/>
    <w:rsid w:val="00A3617D"/>
    <w:rsid w:val="00A4259D"/>
    <w:rsid w:val="00A5209A"/>
    <w:rsid w:val="00A553E1"/>
    <w:rsid w:val="00A60EF7"/>
    <w:rsid w:val="00A676A4"/>
    <w:rsid w:val="00A91424"/>
    <w:rsid w:val="00AC7D08"/>
    <w:rsid w:val="00AD74ED"/>
    <w:rsid w:val="00AF1880"/>
    <w:rsid w:val="00B03BC8"/>
    <w:rsid w:val="00B103E3"/>
    <w:rsid w:val="00B21E3A"/>
    <w:rsid w:val="00B220A7"/>
    <w:rsid w:val="00B25BA1"/>
    <w:rsid w:val="00B313BF"/>
    <w:rsid w:val="00B37133"/>
    <w:rsid w:val="00BF1511"/>
    <w:rsid w:val="00C14E61"/>
    <w:rsid w:val="00C1642A"/>
    <w:rsid w:val="00C16BE2"/>
    <w:rsid w:val="00C21E6B"/>
    <w:rsid w:val="00C221B7"/>
    <w:rsid w:val="00C415B7"/>
    <w:rsid w:val="00C43233"/>
    <w:rsid w:val="00C91330"/>
    <w:rsid w:val="00CC1B2F"/>
    <w:rsid w:val="00CD6E4B"/>
    <w:rsid w:val="00D11CB3"/>
    <w:rsid w:val="00D540A7"/>
    <w:rsid w:val="00D63854"/>
    <w:rsid w:val="00DA68FE"/>
    <w:rsid w:val="00DB1B98"/>
    <w:rsid w:val="00DD4E46"/>
    <w:rsid w:val="00E17E70"/>
    <w:rsid w:val="00E3287C"/>
    <w:rsid w:val="00E46544"/>
    <w:rsid w:val="00E63046"/>
    <w:rsid w:val="00E7129E"/>
    <w:rsid w:val="00E771B5"/>
    <w:rsid w:val="00ED15D0"/>
    <w:rsid w:val="00EE6FFF"/>
    <w:rsid w:val="00EF654D"/>
    <w:rsid w:val="00F150F3"/>
    <w:rsid w:val="00F2766D"/>
    <w:rsid w:val="00F30EED"/>
    <w:rsid w:val="00F61750"/>
    <w:rsid w:val="00F65406"/>
    <w:rsid w:val="00F66C73"/>
    <w:rsid w:val="00F8600C"/>
    <w:rsid w:val="00F8699B"/>
    <w:rsid w:val="00F962B7"/>
    <w:rsid w:val="00F96F98"/>
    <w:rsid w:val="00FD36C1"/>
    <w:rsid w:val="00FE3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E3A"/>
    <w:rPr>
      <w:rFonts w:ascii="Tahoma" w:hAnsi="Tahoma" w:cs="Tahoma"/>
      <w:sz w:val="16"/>
      <w:szCs w:val="16"/>
    </w:rPr>
  </w:style>
  <w:style w:type="paragraph" w:styleId="Header">
    <w:name w:val="header"/>
    <w:basedOn w:val="Normal"/>
    <w:link w:val="HeaderChar"/>
    <w:uiPriority w:val="99"/>
    <w:unhideWhenUsed/>
    <w:rsid w:val="007117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7D0"/>
  </w:style>
  <w:style w:type="paragraph" w:styleId="Footer">
    <w:name w:val="footer"/>
    <w:basedOn w:val="Normal"/>
    <w:link w:val="FooterChar"/>
    <w:uiPriority w:val="99"/>
    <w:unhideWhenUsed/>
    <w:rsid w:val="007117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7D0"/>
  </w:style>
  <w:style w:type="paragraph" w:styleId="ListParagraph">
    <w:name w:val="List Paragraph"/>
    <w:basedOn w:val="Normal"/>
    <w:uiPriority w:val="34"/>
    <w:qFormat/>
    <w:rsid w:val="007B2466"/>
    <w:pPr>
      <w:ind w:left="720"/>
      <w:contextualSpacing/>
    </w:pPr>
  </w:style>
  <w:style w:type="paragraph" w:styleId="FootnoteText">
    <w:name w:val="footnote text"/>
    <w:basedOn w:val="Normal"/>
    <w:link w:val="FootnoteTextChar"/>
    <w:uiPriority w:val="99"/>
    <w:semiHidden/>
    <w:unhideWhenUsed/>
    <w:rsid w:val="007008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08BB"/>
    <w:rPr>
      <w:sz w:val="20"/>
      <w:szCs w:val="20"/>
    </w:rPr>
  </w:style>
  <w:style w:type="character" w:styleId="FootnoteReference">
    <w:name w:val="footnote reference"/>
    <w:basedOn w:val="DefaultParagraphFont"/>
    <w:uiPriority w:val="99"/>
    <w:semiHidden/>
    <w:unhideWhenUsed/>
    <w:rsid w:val="007008B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E3A"/>
    <w:rPr>
      <w:rFonts w:ascii="Tahoma" w:hAnsi="Tahoma" w:cs="Tahoma"/>
      <w:sz w:val="16"/>
      <w:szCs w:val="16"/>
    </w:rPr>
  </w:style>
  <w:style w:type="paragraph" w:styleId="Header">
    <w:name w:val="header"/>
    <w:basedOn w:val="Normal"/>
    <w:link w:val="HeaderChar"/>
    <w:uiPriority w:val="99"/>
    <w:unhideWhenUsed/>
    <w:rsid w:val="007117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7D0"/>
  </w:style>
  <w:style w:type="paragraph" w:styleId="Footer">
    <w:name w:val="footer"/>
    <w:basedOn w:val="Normal"/>
    <w:link w:val="FooterChar"/>
    <w:uiPriority w:val="99"/>
    <w:unhideWhenUsed/>
    <w:rsid w:val="007117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7D0"/>
  </w:style>
  <w:style w:type="paragraph" w:styleId="ListParagraph">
    <w:name w:val="List Paragraph"/>
    <w:basedOn w:val="Normal"/>
    <w:uiPriority w:val="34"/>
    <w:qFormat/>
    <w:rsid w:val="007B2466"/>
    <w:pPr>
      <w:ind w:left="720"/>
      <w:contextualSpacing/>
    </w:pPr>
  </w:style>
  <w:style w:type="paragraph" w:styleId="FootnoteText">
    <w:name w:val="footnote text"/>
    <w:basedOn w:val="Normal"/>
    <w:link w:val="FootnoteTextChar"/>
    <w:uiPriority w:val="99"/>
    <w:semiHidden/>
    <w:unhideWhenUsed/>
    <w:rsid w:val="007008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08BB"/>
    <w:rPr>
      <w:sz w:val="20"/>
      <w:szCs w:val="20"/>
    </w:rPr>
  </w:style>
  <w:style w:type="character" w:styleId="FootnoteReference">
    <w:name w:val="footnote reference"/>
    <w:basedOn w:val="DefaultParagraphFont"/>
    <w:uiPriority w:val="99"/>
    <w:semiHidden/>
    <w:unhideWhenUsed/>
    <w:rsid w:val="007008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474962">
      <w:bodyDiv w:val="1"/>
      <w:marLeft w:val="0"/>
      <w:marRight w:val="0"/>
      <w:marTop w:val="0"/>
      <w:marBottom w:val="0"/>
      <w:divBdr>
        <w:top w:val="none" w:sz="0" w:space="0" w:color="auto"/>
        <w:left w:val="none" w:sz="0" w:space="0" w:color="auto"/>
        <w:bottom w:val="none" w:sz="0" w:space="0" w:color="auto"/>
        <w:right w:val="none" w:sz="0" w:space="0" w:color="auto"/>
      </w:divBdr>
    </w:div>
    <w:div w:id="1435710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chart" Target="charts/chart10.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3.xml"/><Relationship Id="rId28"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image" Target="media/image2.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charts/_rels/chart1.xml.rels><?xml version="1.0" encoding="UTF-8" standalone="yes"?>
<Relationships xmlns="http://schemas.openxmlformats.org/package/2006/relationships"><Relationship Id="rId1" Type="http://schemas.openxmlformats.org/officeDocument/2006/relationships/oleObject" Target="file:///E:\Data\KnotGeo\NebAtlas\HallCO\TIFInside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Data\KnotGeo\NebAtlas\HallCO\TIF\Rough%20Graphs%20Value%20Changes%20Inside%20Outside%20TIF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Data\KnotGeo\NebAtlas\HallCO\TIF\Rough%20Graphs%20Value%20Changes%20Inside%20Outside%20TIF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Data\KnotGeo\NebAtlas\HallCO\TIF\Rough%20Graphs%20Value%20Changes%20Inside%20Outside%20TIF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Data\KnotGeo\NebAtlas\HallCO\TIF\Rough%20Graphs%20Value%20Changes%20Inside%20Outside%20TIF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ata\KnotGeo\NebAtlas\HallCO\TIFOutside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ata\KnotGeo\NebAtlas\HallCO\HallCoAssessedValue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ata\KnotGeo\NebAtlas\HallCO\HallCoAssessedValue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Data\KnotGeo\NebAtlas\HallCO\HallCoAssessedValue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Data\KnotGeo\NebAtlas\HallCO\HallCoAssessedValue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Data\KnotGeo\NebAtlas\HallCO\TIFAdjacent12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Data\KnotGeo\NebAtlas\HallCO\TIFNONGIslandResidential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Data\KnotGeo\NebAtlas\HallCO\TIFNONGIslandCommercial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48840769903763"/>
          <c:y val="5.1400554097404488E-2"/>
          <c:w val="0.80870472440944896"/>
          <c:h val="0.79523549139690874"/>
        </c:manualLayout>
      </c:layout>
      <c:lineChart>
        <c:grouping val="standard"/>
        <c:varyColors val="0"/>
        <c:ser>
          <c:idx val="0"/>
          <c:order val="0"/>
          <c:tx>
            <c:strRef>
              <c:f>SummarySheet!$A$3</c:f>
              <c:strCache>
                <c:ptCount val="1"/>
                <c:pt idx="0">
                  <c:v>Current $</c:v>
                </c:pt>
              </c:strCache>
            </c:strRef>
          </c:tx>
          <c:marker>
            <c:symbol val="none"/>
          </c:marker>
          <c:cat>
            <c:numRef>
              <c:f>SummarySheet!$B$1:$X$1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SummarySheet!$B$3:$X$3</c:f>
              <c:numCache>
                <c:formatCode>General</c:formatCode>
                <c:ptCount val="23"/>
                <c:pt idx="0">
                  <c:v>16422178</c:v>
                </c:pt>
                <c:pt idx="1">
                  <c:v>18200280</c:v>
                </c:pt>
                <c:pt idx="2">
                  <c:v>19152020</c:v>
                </c:pt>
                <c:pt idx="3">
                  <c:v>18928259</c:v>
                </c:pt>
                <c:pt idx="4">
                  <c:v>18358098</c:v>
                </c:pt>
                <c:pt idx="5">
                  <c:v>19747587</c:v>
                </c:pt>
                <c:pt idx="6">
                  <c:v>17874878</c:v>
                </c:pt>
                <c:pt idx="7">
                  <c:v>18019012</c:v>
                </c:pt>
                <c:pt idx="8">
                  <c:v>18689897</c:v>
                </c:pt>
                <c:pt idx="9">
                  <c:v>19009711</c:v>
                </c:pt>
                <c:pt idx="10">
                  <c:v>19368080</c:v>
                </c:pt>
                <c:pt idx="11">
                  <c:v>23574083</c:v>
                </c:pt>
                <c:pt idx="12">
                  <c:v>26288520</c:v>
                </c:pt>
                <c:pt idx="13">
                  <c:v>27641968</c:v>
                </c:pt>
                <c:pt idx="14">
                  <c:v>29225362</c:v>
                </c:pt>
                <c:pt idx="15">
                  <c:v>28964798</c:v>
                </c:pt>
                <c:pt idx="16">
                  <c:v>31617608</c:v>
                </c:pt>
                <c:pt idx="17">
                  <c:v>36761396</c:v>
                </c:pt>
                <c:pt idx="18">
                  <c:v>38352502</c:v>
                </c:pt>
                <c:pt idx="19">
                  <c:v>40574172</c:v>
                </c:pt>
                <c:pt idx="20">
                  <c:v>39623908</c:v>
                </c:pt>
                <c:pt idx="21">
                  <c:v>50358247</c:v>
                </c:pt>
                <c:pt idx="22">
                  <c:v>76544873</c:v>
                </c:pt>
              </c:numCache>
            </c:numRef>
          </c:val>
          <c:smooth val="0"/>
        </c:ser>
        <c:ser>
          <c:idx val="1"/>
          <c:order val="1"/>
          <c:tx>
            <c:strRef>
              <c:f>SummarySheet!$A$7</c:f>
              <c:strCache>
                <c:ptCount val="1"/>
                <c:pt idx="0">
                  <c:v>Constant $</c:v>
                </c:pt>
              </c:strCache>
            </c:strRef>
          </c:tx>
          <c:marker>
            <c:symbol val="none"/>
          </c:marker>
          <c:cat>
            <c:numRef>
              <c:f>SummarySheet!$B$1:$X$1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SummarySheet!$B$7:$X$7</c:f>
              <c:numCache>
                <c:formatCode>General</c:formatCode>
                <c:ptCount val="23"/>
                <c:pt idx="0">
                  <c:v>16422178</c:v>
                </c:pt>
                <c:pt idx="1">
                  <c:v>17698697.480314959</c:v>
                </c:pt>
                <c:pt idx="2">
                  <c:v>18090053.307839386</c:v>
                </c:pt>
                <c:pt idx="3">
                  <c:v>17477682.142056074</c:v>
                </c:pt>
                <c:pt idx="4">
                  <c:v>16691227.752147239</c:v>
                </c:pt>
                <c:pt idx="5">
                  <c:v>17566580.992797118</c:v>
                </c:pt>
                <c:pt idx="6">
                  <c:v>15383605.804878049</c:v>
                </c:pt>
                <c:pt idx="7">
                  <c:v>15078585.98757764</c:v>
                </c:pt>
                <c:pt idx="8">
                  <c:v>15396568.846025569</c:v>
                </c:pt>
                <c:pt idx="9">
                  <c:v>15311082.44673913</c:v>
                </c:pt>
                <c:pt idx="10">
                  <c:v>15195073.880359977</c:v>
                </c:pt>
                <c:pt idx="11">
                  <c:v>17888781.877112132</c:v>
                </c:pt>
                <c:pt idx="12">
                  <c:v>19325191.785714284</c:v>
                </c:pt>
                <c:pt idx="13">
                  <c:v>19761406.93487699</c:v>
                </c:pt>
                <c:pt idx="14">
                  <c:v>20117039.704598233</c:v>
                </c:pt>
                <c:pt idx="15">
                  <c:v>20008311.100960195</c:v>
                </c:pt>
                <c:pt idx="16">
                  <c:v>21488257.844629917</c:v>
                </c:pt>
                <c:pt idx="17">
                  <c:v>24219964.822619364</c:v>
                </c:pt>
                <c:pt idx="18">
                  <c:v>24756482.409512606</c:v>
                </c:pt>
                <c:pt idx="19">
                  <c:v>25811694.241071425</c:v>
                </c:pt>
                <c:pt idx="20">
                  <c:v>24804693.611556977</c:v>
                </c:pt>
                <c:pt idx="21">
                  <c:v>31487183.382836889</c:v>
                </c:pt>
                <c:pt idx="22">
                  <c:v>46992337.111019045</c:v>
                </c:pt>
              </c:numCache>
            </c:numRef>
          </c:val>
          <c:smooth val="0"/>
        </c:ser>
        <c:dLbls>
          <c:showLegendKey val="0"/>
          <c:showVal val="0"/>
          <c:showCatName val="0"/>
          <c:showSerName val="0"/>
          <c:showPercent val="0"/>
          <c:showBubbleSize val="0"/>
        </c:dLbls>
        <c:marker val="1"/>
        <c:smooth val="0"/>
        <c:axId val="141166464"/>
        <c:axId val="141168000"/>
      </c:lineChart>
      <c:catAx>
        <c:axId val="141166464"/>
        <c:scaling>
          <c:orientation val="minMax"/>
        </c:scaling>
        <c:delete val="0"/>
        <c:axPos val="b"/>
        <c:numFmt formatCode="General" sourceLinked="1"/>
        <c:majorTickMark val="out"/>
        <c:minorTickMark val="none"/>
        <c:tickLblPos val="nextTo"/>
        <c:crossAx val="141168000"/>
        <c:crosses val="autoZero"/>
        <c:auto val="1"/>
        <c:lblAlgn val="ctr"/>
        <c:lblOffset val="100"/>
        <c:noMultiLvlLbl val="0"/>
      </c:catAx>
      <c:valAx>
        <c:axId val="141168000"/>
        <c:scaling>
          <c:orientation val="minMax"/>
        </c:scaling>
        <c:delete val="0"/>
        <c:axPos val="l"/>
        <c:majorGridlines/>
        <c:numFmt formatCode="#,##0.00" sourceLinked="0"/>
        <c:majorTickMark val="out"/>
        <c:minorTickMark val="none"/>
        <c:tickLblPos val="nextTo"/>
        <c:crossAx val="141166464"/>
        <c:crosses val="autoZero"/>
        <c:crossBetween val="between"/>
      </c:valAx>
    </c:plotArea>
    <c:legend>
      <c:legendPos val="r"/>
      <c:layout>
        <c:manualLayout>
          <c:xMode val="edge"/>
          <c:yMode val="edge"/>
          <c:x val="0.2735264654418198"/>
          <c:y val="9.1824876057159527E-2"/>
          <c:w val="0.33758464566929136"/>
          <c:h val="0.43672061825605135"/>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48840769903763"/>
          <c:y val="5.1400554097404488E-2"/>
          <c:w val="0.82771937882764668"/>
          <c:h val="0.79523549139690874"/>
        </c:manualLayout>
      </c:layout>
      <c:lineChart>
        <c:grouping val="standard"/>
        <c:varyColors val="0"/>
        <c:ser>
          <c:idx val="0"/>
          <c:order val="0"/>
          <c:tx>
            <c:strRef>
              <c:f>'&lt;264'!$A$3</c:f>
              <c:strCache>
                <c:ptCount val="1"/>
                <c:pt idx="0">
                  <c:v>&lt; 264' Res TIF/Res Parcels (constant $)</c:v>
                </c:pt>
              </c:strCache>
            </c:strRef>
          </c:tx>
          <c:marker>
            <c:symbol val="none"/>
          </c:marker>
          <c:cat>
            <c:numRef>
              <c:f>'&lt;264'!$B$1:$X$1</c:f>
              <c:numCache>
                <c:formatCode>0</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'&lt;264'!$B$3:$X$3</c:f>
              <c:numCache>
                <c:formatCode>General</c:formatCode>
                <c:ptCount val="23"/>
                <c:pt idx="0">
                  <c:v>4009780</c:v>
                </c:pt>
                <c:pt idx="1">
                  <c:v>5334126.4251968497</c:v>
                </c:pt>
                <c:pt idx="2">
                  <c:v>5191397.8279158697</c:v>
                </c:pt>
                <c:pt idx="3">
                  <c:v>5093540.7401869157</c:v>
                </c:pt>
                <c:pt idx="4">
                  <c:v>5279333.1460122699</c:v>
                </c:pt>
                <c:pt idx="5">
                  <c:v>5321658.2917166864</c:v>
                </c:pt>
                <c:pt idx="6">
                  <c:v>5229168.1498257844</c:v>
                </c:pt>
                <c:pt idx="7">
                  <c:v>5110341.0186335398</c:v>
                </c:pt>
                <c:pt idx="8">
                  <c:v>5437248.7570872707</c:v>
                </c:pt>
                <c:pt idx="9">
                  <c:v>5321112.9456521738</c:v>
                </c:pt>
                <c:pt idx="10">
                  <c:v>5818088.0074113281</c:v>
                </c:pt>
                <c:pt idx="11">
                  <c:v>6630858.0399385551</c:v>
                </c:pt>
                <c:pt idx="12">
                  <c:v>6558235.9374999991</c:v>
                </c:pt>
                <c:pt idx="13">
                  <c:v>6494023.9131693188</c:v>
                </c:pt>
                <c:pt idx="14">
                  <c:v>6321637.2345564328</c:v>
                </c:pt>
                <c:pt idx="15">
                  <c:v>6443289.6177868927</c:v>
                </c:pt>
                <c:pt idx="16">
                  <c:v>6405282.0214619823</c:v>
                </c:pt>
                <c:pt idx="17">
                  <c:v>6410007.7514003729</c:v>
                </c:pt>
                <c:pt idx="18">
                  <c:v>6290309.2695674887</c:v>
                </c:pt>
                <c:pt idx="19">
                  <c:v>6237679.2187499991</c:v>
                </c:pt>
                <c:pt idx="20">
                  <c:v>6232790.9470304968</c:v>
                </c:pt>
                <c:pt idx="21">
                  <c:v>6482098.0533288326</c:v>
                </c:pt>
                <c:pt idx="22">
                  <c:v>6547706.8334714156</c:v>
                </c:pt>
              </c:numCache>
            </c:numRef>
          </c:val>
          <c:smooth val="0"/>
        </c:ser>
        <c:ser>
          <c:idx val="1"/>
          <c:order val="1"/>
          <c:tx>
            <c:strRef>
              <c:f>'&lt;264'!$A$5</c:f>
              <c:strCache>
                <c:ptCount val="1"/>
                <c:pt idx="0">
                  <c:v>264-528' Res TIF/Res Parcels (constant $)</c:v>
                </c:pt>
              </c:strCache>
            </c:strRef>
          </c:tx>
          <c:marker>
            <c:symbol val="none"/>
          </c:marker>
          <c:cat>
            <c:numRef>
              <c:f>'&lt;264'!$B$1:$X$1</c:f>
              <c:numCache>
                <c:formatCode>0</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'&lt;264'!$B$5:$X$5</c:f>
              <c:numCache>
                <c:formatCode>General</c:formatCode>
                <c:ptCount val="23"/>
                <c:pt idx="0">
                  <c:v>5537599</c:v>
                </c:pt>
                <c:pt idx="1">
                  <c:v>6865225.9409448812</c:v>
                </c:pt>
                <c:pt idx="2">
                  <c:v>7416272.760994263</c:v>
                </c:pt>
                <c:pt idx="3">
                  <c:v>7378303.667289719</c:v>
                </c:pt>
                <c:pt idx="4">
                  <c:v>7856136.5521472394</c:v>
                </c:pt>
                <c:pt idx="5">
                  <c:v>7770042.3817527005</c:v>
                </c:pt>
                <c:pt idx="6">
                  <c:v>7633741.5505226487</c:v>
                </c:pt>
                <c:pt idx="7">
                  <c:v>7441091.8746470921</c:v>
                </c:pt>
                <c:pt idx="8">
                  <c:v>7848978.4502501385</c:v>
                </c:pt>
                <c:pt idx="9">
                  <c:v>7768581.1760869557</c:v>
                </c:pt>
                <c:pt idx="10">
                  <c:v>8211530.5600846997</c:v>
                </c:pt>
                <c:pt idx="11">
                  <c:v>9687537.2964669727</c:v>
                </c:pt>
                <c:pt idx="12">
                  <c:v>9380289.5952380951</c:v>
                </c:pt>
                <c:pt idx="13">
                  <c:v>9262277.6642547026</c:v>
                </c:pt>
                <c:pt idx="14">
                  <c:v>9098688.4068741277</c:v>
                </c:pt>
                <c:pt idx="15">
                  <c:v>9165787.9985084366</c:v>
                </c:pt>
                <c:pt idx="16">
                  <c:v>8983591.6234064009</c:v>
                </c:pt>
                <c:pt idx="17">
                  <c:v>8718538.0074686576</c:v>
                </c:pt>
                <c:pt idx="18">
                  <c:v>8621887.926303409</c:v>
                </c:pt>
                <c:pt idx="19">
                  <c:v>8509563.7165178563</c:v>
                </c:pt>
                <c:pt idx="20">
                  <c:v>8376802.4879614757</c:v>
                </c:pt>
                <c:pt idx="21">
                  <c:v>8789247.2913678158</c:v>
                </c:pt>
                <c:pt idx="22">
                  <c:v>8888594.5923777949</c:v>
                </c:pt>
              </c:numCache>
            </c:numRef>
          </c:val>
          <c:smooth val="0"/>
        </c:ser>
        <c:dLbls>
          <c:showLegendKey val="0"/>
          <c:showVal val="0"/>
          <c:showCatName val="0"/>
          <c:showSerName val="0"/>
          <c:showPercent val="0"/>
          <c:showBubbleSize val="0"/>
        </c:dLbls>
        <c:marker val="1"/>
        <c:smooth val="0"/>
        <c:axId val="141681024"/>
        <c:axId val="141682560"/>
      </c:lineChart>
      <c:catAx>
        <c:axId val="141681024"/>
        <c:scaling>
          <c:orientation val="minMax"/>
        </c:scaling>
        <c:delete val="0"/>
        <c:axPos val="b"/>
        <c:numFmt formatCode="0" sourceLinked="1"/>
        <c:majorTickMark val="out"/>
        <c:minorTickMark val="none"/>
        <c:tickLblPos val="nextTo"/>
        <c:crossAx val="141682560"/>
        <c:crosses val="autoZero"/>
        <c:auto val="1"/>
        <c:lblAlgn val="ctr"/>
        <c:lblOffset val="100"/>
        <c:noMultiLvlLbl val="0"/>
      </c:catAx>
      <c:valAx>
        <c:axId val="141682560"/>
        <c:scaling>
          <c:orientation val="minMax"/>
        </c:scaling>
        <c:delete val="0"/>
        <c:axPos val="l"/>
        <c:majorGridlines/>
        <c:numFmt formatCode="General" sourceLinked="1"/>
        <c:majorTickMark val="out"/>
        <c:minorTickMark val="none"/>
        <c:tickLblPos val="nextTo"/>
        <c:crossAx val="141681024"/>
        <c:crosses val="autoZero"/>
        <c:crossBetween val="between"/>
      </c:valAx>
    </c:plotArea>
    <c:legend>
      <c:legendPos val="r"/>
      <c:layout>
        <c:manualLayout>
          <c:xMode val="edge"/>
          <c:yMode val="edge"/>
          <c:x val="0.65643000874890634"/>
          <c:y val="0.54552857976086322"/>
          <c:w val="0.34034460351861501"/>
          <c:h val="0.27931321084864391"/>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44833369654781"/>
          <c:y val="5.1400554097404488E-2"/>
          <c:w val="0.85681918838029403"/>
          <c:h val="0.78278032954214061"/>
        </c:manualLayout>
      </c:layout>
      <c:lineChart>
        <c:grouping val="standard"/>
        <c:varyColors val="0"/>
        <c:ser>
          <c:idx val="0"/>
          <c:order val="0"/>
          <c:tx>
            <c:strRef>
              <c:f>'&lt;264'!$A$9</c:f>
              <c:strCache>
                <c:ptCount val="1"/>
                <c:pt idx="0">
                  <c:v>&lt; 264' Res TIF/Comm Parcels (constant $)</c:v>
                </c:pt>
              </c:strCache>
            </c:strRef>
          </c:tx>
          <c:marker>
            <c:symbol val="none"/>
          </c:marker>
          <c:cat>
            <c:numRef>
              <c:f>'&lt;264'!$B$1:$X$1</c:f>
              <c:numCache>
                <c:formatCode>0</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'&lt;264'!$B$9:$X$9</c:f>
              <c:numCache>
                <c:formatCode>General</c:formatCode>
                <c:ptCount val="23"/>
                <c:pt idx="0">
                  <c:v>151713</c:v>
                </c:pt>
                <c:pt idx="1">
                  <c:v>194035.03149606299</c:v>
                </c:pt>
                <c:pt idx="2">
                  <c:v>188469.97323135755</c:v>
                </c:pt>
                <c:pt idx="3">
                  <c:v>257138.54205607474</c:v>
                </c:pt>
                <c:pt idx="4">
                  <c:v>354236.1865030675</c:v>
                </c:pt>
                <c:pt idx="5">
                  <c:v>370759.75030012004</c:v>
                </c:pt>
                <c:pt idx="6">
                  <c:v>358702.52264808363</c:v>
                </c:pt>
                <c:pt idx="7">
                  <c:v>348777.94692264259</c:v>
                </c:pt>
                <c:pt idx="8">
                  <c:v>366976.64591439685</c:v>
                </c:pt>
                <c:pt idx="9">
                  <c:v>358799.44891304348</c:v>
                </c:pt>
                <c:pt idx="10">
                  <c:v>337536.67972472205</c:v>
                </c:pt>
                <c:pt idx="11">
                  <c:v>360556.25806451606</c:v>
                </c:pt>
                <c:pt idx="12">
                  <c:v>277084.74702380953</c:v>
                </c:pt>
                <c:pt idx="13">
                  <c:v>269465.91895803181</c:v>
                </c:pt>
                <c:pt idx="14">
                  <c:v>241959.73153738969</c:v>
                </c:pt>
                <c:pt idx="15">
                  <c:v>234106.81644448588</c:v>
                </c:pt>
                <c:pt idx="16">
                  <c:v>230327.78317894155</c:v>
                </c:pt>
                <c:pt idx="17">
                  <c:v>223282.99279807947</c:v>
                </c:pt>
                <c:pt idx="18">
                  <c:v>218760.73173918721</c:v>
                </c:pt>
                <c:pt idx="19">
                  <c:v>215596.1383928571</c:v>
                </c:pt>
                <c:pt idx="20">
                  <c:v>212153.73996789724</c:v>
                </c:pt>
                <c:pt idx="21">
                  <c:v>219787.69049025397</c:v>
                </c:pt>
                <c:pt idx="22">
                  <c:v>223978.45401822697</c:v>
                </c:pt>
              </c:numCache>
            </c:numRef>
          </c:val>
          <c:smooth val="0"/>
        </c:ser>
        <c:ser>
          <c:idx val="1"/>
          <c:order val="1"/>
          <c:tx>
            <c:strRef>
              <c:f>'&lt;264'!$A$11</c:f>
              <c:strCache>
                <c:ptCount val="1"/>
                <c:pt idx="0">
                  <c:v>264-528' Res TIF/Comm Parcels (constant $)</c:v>
                </c:pt>
              </c:strCache>
            </c:strRef>
          </c:tx>
          <c:marker>
            <c:symbol val="none"/>
          </c:marker>
          <c:cat>
            <c:numRef>
              <c:f>'&lt;264'!$B$1:$X$1</c:f>
              <c:numCache>
                <c:formatCode>0</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'&lt;264'!$B$11:$X$11</c:f>
              <c:numCache>
                <c:formatCode>General</c:formatCode>
                <c:ptCount val="23"/>
                <c:pt idx="0">
                  <c:v>1835048</c:v>
                </c:pt>
                <c:pt idx="1">
                  <c:v>1894809.9330708659</c:v>
                </c:pt>
                <c:pt idx="2">
                  <c:v>1841222.0650095602</c:v>
                </c:pt>
                <c:pt idx="3">
                  <c:v>1774069.4205607476</c:v>
                </c:pt>
                <c:pt idx="4">
                  <c:v>1752615.9276073619</c:v>
                </c:pt>
                <c:pt idx="5">
                  <c:v>1845615.7274909962</c:v>
                </c:pt>
                <c:pt idx="6">
                  <c:v>1871821.080139373</c:v>
                </c:pt>
                <c:pt idx="7">
                  <c:v>1827252.4438170525</c:v>
                </c:pt>
                <c:pt idx="8">
                  <c:v>1911240.4168982767</c:v>
                </c:pt>
                <c:pt idx="9">
                  <c:v>1877752.7967391303</c:v>
                </c:pt>
                <c:pt idx="10">
                  <c:v>2022627.9512969824</c:v>
                </c:pt>
                <c:pt idx="11">
                  <c:v>1976865.0691244237</c:v>
                </c:pt>
                <c:pt idx="12">
                  <c:v>2148191.3452380951</c:v>
                </c:pt>
                <c:pt idx="13">
                  <c:v>2096605.3458755424</c:v>
                </c:pt>
                <c:pt idx="14">
                  <c:v>2018700.8276823037</c:v>
                </c:pt>
                <c:pt idx="15">
                  <c:v>2065346.6719492869</c:v>
                </c:pt>
                <c:pt idx="16">
                  <c:v>2048929.904613409</c:v>
                </c:pt>
                <c:pt idx="17">
                  <c:v>2089223.3769005067</c:v>
                </c:pt>
                <c:pt idx="18">
                  <c:v>2099343.1438651504</c:v>
                </c:pt>
                <c:pt idx="19">
                  <c:v>2007554.6316964282</c:v>
                </c:pt>
                <c:pt idx="20">
                  <c:v>2035938.9727126802</c:v>
                </c:pt>
                <c:pt idx="21">
                  <c:v>2071230.369589064</c:v>
                </c:pt>
                <c:pt idx="22">
                  <c:v>2343261.1690140842</c:v>
                </c:pt>
              </c:numCache>
            </c:numRef>
          </c:val>
          <c:smooth val="0"/>
        </c:ser>
        <c:dLbls>
          <c:showLegendKey val="0"/>
          <c:showVal val="0"/>
          <c:showCatName val="0"/>
          <c:showSerName val="0"/>
          <c:showPercent val="0"/>
          <c:showBubbleSize val="0"/>
        </c:dLbls>
        <c:marker val="1"/>
        <c:smooth val="0"/>
        <c:axId val="141760768"/>
        <c:axId val="141778944"/>
      </c:lineChart>
      <c:catAx>
        <c:axId val="141760768"/>
        <c:scaling>
          <c:orientation val="minMax"/>
        </c:scaling>
        <c:delete val="0"/>
        <c:axPos val="b"/>
        <c:numFmt formatCode="0" sourceLinked="1"/>
        <c:majorTickMark val="out"/>
        <c:minorTickMark val="none"/>
        <c:tickLblPos val="nextTo"/>
        <c:crossAx val="141778944"/>
        <c:crosses val="autoZero"/>
        <c:auto val="1"/>
        <c:lblAlgn val="ctr"/>
        <c:lblOffset val="100"/>
        <c:noMultiLvlLbl val="0"/>
      </c:catAx>
      <c:valAx>
        <c:axId val="141778944"/>
        <c:scaling>
          <c:orientation val="minMax"/>
        </c:scaling>
        <c:delete val="0"/>
        <c:axPos val="l"/>
        <c:majorGridlines/>
        <c:numFmt formatCode="General" sourceLinked="1"/>
        <c:majorTickMark val="out"/>
        <c:minorTickMark val="none"/>
        <c:tickLblPos val="nextTo"/>
        <c:crossAx val="141760768"/>
        <c:crosses val="autoZero"/>
        <c:crossBetween val="between"/>
      </c:valAx>
    </c:plotArea>
    <c:legend>
      <c:legendPos val="r"/>
      <c:layout>
        <c:manualLayout>
          <c:xMode val="edge"/>
          <c:yMode val="edge"/>
          <c:x val="0.65238136114039236"/>
          <c:y val="0.3371952464275299"/>
          <c:w val="0.29827943637499865"/>
          <c:h val="0.27931321084864391"/>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1274032712689"/>
          <c:y val="5.1400554097404488E-2"/>
          <c:w val="0.84496071348963975"/>
          <c:h val="0.78278032954214061"/>
        </c:manualLayout>
      </c:layout>
      <c:lineChart>
        <c:grouping val="standard"/>
        <c:varyColors val="0"/>
        <c:ser>
          <c:idx val="0"/>
          <c:order val="0"/>
          <c:tx>
            <c:strRef>
              <c:f>'&lt;264'!$A$15</c:f>
              <c:strCache>
                <c:ptCount val="1"/>
                <c:pt idx="0">
                  <c:v>&lt; 264' Comm TIF/Res Parcels (constant $)</c:v>
                </c:pt>
              </c:strCache>
            </c:strRef>
          </c:tx>
          <c:marker>
            <c:symbol val="none"/>
          </c:marker>
          <c:cat>
            <c:numRef>
              <c:f>'&lt;264'!$B$1:$X$1</c:f>
              <c:numCache>
                <c:formatCode>0</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'&lt;264'!$B$15:$X$15</c:f>
              <c:numCache>
                <c:formatCode>General</c:formatCode>
                <c:ptCount val="23"/>
                <c:pt idx="0">
                  <c:v>2854275</c:v>
                </c:pt>
                <c:pt idx="1">
                  <c:v>3251860.0236220472</c:v>
                </c:pt>
                <c:pt idx="2">
                  <c:v>3158594.4397705542</c:v>
                </c:pt>
                <c:pt idx="3">
                  <c:v>3111231.3906542053</c:v>
                </c:pt>
                <c:pt idx="4">
                  <c:v>3293997.7582822083</c:v>
                </c:pt>
                <c:pt idx="5">
                  <c:v>3212251.0120048015</c:v>
                </c:pt>
                <c:pt idx="6">
                  <c:v>3203645.080139373</c:v>
                </c:pt>
                <c:pt idx="7">
                  <c:v>3160659.1405985318</c:v>
                </c:pt>
                <c:pt idx="8">
                  <c:v>3297560.3879933297</c:v>
                </c:pt>
                <c:pt idx="9">
                  <c:v>3224082.1402173913</c:v>
                </c:pt>
                <c:pt idx="10">
                  <c:v>3359705.7681312859</c:v>
                </c:pt>
                <c:pt idx="11">
                  <c:v>3678257.9815668198</c:v>
                </c:pt>
                <c:pt idx="12">
                  <c:v>3564254.1071428568</c:v>
                </c:pt>
                <c:pt idx="13">
                  <c:v>4233103.8726483351</c:v>
                </c:pt>
                <c:pt idx="14">
                  <c:v>4127334.894565722</c:v>
                </c:pt>
                <c:pt idx="15">
                  <c:v>4083155.9177775704</c:v>
                </c:pt>
                <c:pt idx="16">
                  <c:v>4008483.7778593046</c:v>
                </c:pt>
                <c:pt idx="17">
                  <c:v>3877309.018404908</c:v>
                </c:pt>
                <c:pt idx="18">
                  <c:v>3781819.4851692142</c:v>
                </c:pt>
                <c:pt idx="19">
                  <c:v>3733566.160714285</c:v>
                </c:pt>
                <c:pt idx="20">
                  <c:v>3632459.9999999995</c:v>
                </c:pt>
                <c:pt idx="21">
                  <c:v>3769356.5159058305</c:v>
                </c:pt>
                <c:pt idx="22">
                  <c:v>3803915.2120961053</c:v>
                </c:pt>
              </c:numCache>
            </c:numRef>
          </c:val>
          <c:smooth val="0"/>
        </c:ser>
        <c:ser>
          <c:idx val="1"/>
          <c:order val="1"/>
          <c:tx>
            <c:strRef>
              <c:f>'&lt;264'!$A$17</c:f>
              <c:strCache>
                <c:ptCount val="1"/>
                <c:pt idx="0">
                  <c:v>264-528' Comm TIF/Res Parcels (constant $)</c:v>
                </c:pt>
              </c:strCache>
            </c:strRef>
          </c:tx>
          <c:marker>
            <c:symbol val="none"/>
          </c:marker>
          <c:cat>
            <c:numRef>
              <c:f>'&lt;264'!$B$1:$X$1</c:f>
              <c:numCache>
                <c:formatCode>0</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'&lt;264'!$B$17:$X$17</c:f>
              <c:numCache>
                <c:formatCode>General</c:formatCode>
                <c:ptCount val="23"/>
                <c:pt idx="0">
                  <c:v>10079581</c:v>
                </c:pt>
                <c:pt idx="1">
                  <c:v>11557533.562992126</c:v>
                </c:pt>
                <c:pt idx="2">
                  <c:v>11233894.370936902</c:v>
                </c:pt>
                <c:pt idx="3">
                  <c:v>11011753.076635513</c:v>
                </c:pt>
                <c:pt idx="4">
                  <c:v>11736066.195092024</c:v>
                </c:pt>
                <c:pt idx="5">
                  <c:v>11571667.714285713</c:v>
                </c:pt>
                <c:pt idx="6">
                  <c:v>11613958.073170733</c:v>
                </c:pt>
                <c:pt idx="7">
                  <c:v>11343896.615471484</c:v>
                </c:pt>
                <c:pt idx="8">
                  <c:v>11810013.515286269</c:v>
                </c:pt>
                <c:pt idx="9">
                  <c:v>11539974.776086956</c:v>
                </c:pt>
                <c:pt idx="10">
                  <c:v>12034695.150873477</c:v>
                </c:pt>
                <c:pt idx="11">
                  <c:v>13173845.545314899</c:v>
                </c:pt>
                <c:pt idx="12">
                  <c:v>12764146.958333332</c:v>
                </c:pt>
                <c:pt idx="13">
                  <c:v>12448757.105643993</c:v>
                </c:pt>
                <c:pt idx="14">
                  <c:v>12330184.244310264</c:v>
                </c:pt>
                <c:pt idx="15">
                  <c:v>12392981.499953389</c:v>
                </c:pt>
                <c:pt idx="16">
                  <c:v>12205008.077593323</c:v>
                </c:pt>
                <c:pt idx="17">
                  <c:v>11845131.736463057</c:v>
                </c:pt>
                <c:pt idx="18">
                  <c:v>11590070.111067554</c:v>
                </c:pt>
                <c:pt idx="19">
                  <c:v>11445784.486607142</c:v>
                </c:pt>
                <c:pt idx="20">
                  <c:v>11287824.462279292</c:v>
                </c:pt>
                <c:pt idx="21">
                  <c:v>11768988.930048097</c:v>
                </c:pt>
                <c:pt idx="22">
                  <c:v>11714367.703396849</c:v>
                </c:pt>
              </c:numCache>
            </c:numRef>
          </c:val>
          <c:smooth val="0"/>
        </c:ser>
        <c:dLbls>
          <c:showLegendKey val="0"/>
          <c:showVal val="0"/>
          <c:showCatName val="0"/>
          <c:showSerName val="0"/>
          <c:showPercent val="0"/>
          <c:showBubbleSize val="0"/>
        </c:dLbls>
        <c:marker val="1"/>
        <c:smooth val="0"/>
        <c:axId val="141808000"/>
        <c:axId val="141809536"/>
      </c:lineChart>
      <c:catAx>
        <c:axId val="141808000"/>
        <c:scaling>
          <c:orientation val="minMax"/>
        </c:scaling>
        <c:delete val="0"/>
        <c:axPos val="b"/>
        <c:numFmt formatCode="0" sourceLinked="1"/>
        <c:majorTickMark val="out"/>
        <c:minorTickMark val="none"/>
        <c:tickLblPos val="nextTo"/>
        <c:crossAx val="141809536"/>
        <c:crosses val="autoZero"/>
        <c:auto val="1"/>
        <c:lblAlgn val="ctr"/>
        <c:lblOffset val="100"/>
        <c:noMultiLvlLbl val="0"/>
      </c:catAx>
      <c:valAx>
        <c:axId val="141809536"/>
        <c:scaling>
          <c:orientation val="minMax"/>
        </c:scaling>
        <c:delete val="0"/>
        <c:axPos val="l"/>
        <c:majorGridlines/>
        <c:numFmt formatCode="General" sourceLinked="1"/>
        <c:majorTickMark val="out"/>
        <c:minorTickMark val="none"/>
        <c:tickLblPos val="nextTo"/>
        <c:crossAx val="141808000"/>
        <c:crosses val="autoZero"/>
        <c:crossBetween val="between"/>
      </c:valAx>
    </c:plotArea>
    <c:legend>
      <c:legendPos val="r"/>
      <c:layout>
        <c:manualLayout>
          <c:xMode val="edge"/>
          <c:yMode val="edge"/>
          <c:x val="0.55683335232392173"/>
          <c:y val="0.24923228346456694"/>
          <c:w val="0.29775475843509919"/>
          <c:h val="0.27931321084864391"/>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97546437695831"/>
          <c:y val="5.1400554097404488E-2"/>
          <c:w val="0.84587232278912483"/>
          <c:h val="0.78278032954214061"/>
        </c:manualLayout>
      </c:layout>
      <c:lineChart>
        <c:grouping val="standard"/>
        <c:varyColors val="0"/>
        <c:ser>
          <c:idx val="0"/>
          <c:order val="0"/>
          <c:tx>
            <c:strRef>
              <c:f>'&lt;264'!$A$21</c:f>
              <c:strCache>
                <c:ptCount val="1"/>
                <c:pt idx="0">
                  <c:v>&lt; 264' Comm TIF/Comm Parcels (constant $)</c:v>
                </c:pt>
              </c:strCache>
            </c:strRef>
          </c:tx>
          <c:marker>
            <c:symbol val="none"/>
          </c:marker>
          <c:cat>
            <c:numRef>
              <c:f>'&lt;264'!$B$1:$X$1</c:f>
              <c:numCache>
                <c:formatCode>0</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'&lt;264'!$B$21:$X$21</c:f>
              <c:numCache>
                <c:formatCode>General</c:formatCode>
                <c:ptCount val="23"/>
                <c:pt idx="0">
                  <c:v>18605431</c:v>
                </c:pt>
                <c:pt idx="1">
                  <c:v>24370419.342519682</c:v>
                </c:pt>
                <c:pt idx="2">
                  <c:v>24823331.869980879</c:v>
                </c:pt>
                <c:pt idx="3">
                  <c:v>24698636.190654203</c:v>
                </c:pt>
                <c:pt idx="4">
                  <c:v>24515997.728834353</c:v>
                </c:pt>
                <c:pt idx="5">
                  <c:v>26508423.69507803</c:v>
                </c:pt>
                <c:pt idx="6">
                  <c:v>25796086.167247389</c:v>
                </c:pt>
                <c:pt idx="7">
                  <c:v>24832503.296442688</c:v>
                </c:pt>
                <c:pt idx="8">
                  <c:v>25533065.783212896</c:v>
                </c:pt>
                <c:pt idx="9">
                  <c:v>24982529.876086954</c:v>
                </c:pt>
                <c:pt idx="10">
                  <c:v>24416616.076230809</c:v>
                </c:pt>
                <c:pt idx="11">
                  <c:v>25066696.731182791</c:v>
                </c:pt>
                <c:pt idx="12">
                  <c:v>26619224.550595235</c:v>
                </c:pt>
                <c:pt idx="13">
                  <c:v>26454486.396526769</c:v>
                </c:pt>
                <c:pt idx="14">
                  <c:v>25888457.765908033</c:v>
                </c:pt>
                <c:pt idx="15">
                  <c:v>26754265.405052669</c:v>
                </c:pt>
                <c:pt idx="16">
                  <c:v>26275978.935155459</c:v>
                </c:pt>
                <c:pt idx="17">
                  <c:v>25943250.0240064</c:v>
                </c:pt>
                <c:pt idx="18">
                  <c:v>26030755.829086628</c:v>
                </c:pt>
                <c:pt idx="19">
                  <c:v>26015672.812499996</c:v>
                </c:pt>
                <c:pt idx="20">
                  <c:v>24702869.181380413</c:v>
                </c:pt>
                <c:pt idx="21">
                  <c:v>26513462.078305628</c:v>
                </c:pt>
                <c:pt idx="22">
                  <c:v>29862677.560066275</c:v>
                </c:pt>
              </c:numCache>
            </c:numRef>
          </c:val>
          <c:smooth val="0"/>
        </c:ser>
        <c:ser>
          <c:idx val="1"/>
          <c:order val="1"/>
          <c:tx>
            <c:strRef>
              <c:f>'&lt;264'!$A$23</c:f>
              <c:strCache>
                <c:ptCount val="1"/>
                <c:pt idx="0">
                  <c:v>264-528' Comm TIF/Comm Parcels (constant $)</c:v>
                </c:pt>
              </c:strCache>
            </c:strRef>
          </c:tx>
          <c:marker>
            <c:symbol val="none"/>
          </c:marker>
          <c:cat>
            <c:numRef>
              <c:f>'&lt;264'!$B$1:$X$1</c:f>
              <c:numCache>
                <c:formatCode>0</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'&lt;264'!$B$23:$X$23</c:f>
              <c:numCache>
                <c:formatCode>General</c:formatCode>
                <c:ptCount val="23"/>
                <c:pt idx="0">
                  <c:v>18316310</c:v>
                </c:pt>
                <c:pt idx="1">
                  <c:v>23512693.366141729</c:v>
                </c:pt>
                <c:pt idx="2">
                  <c:v>24381005.403441682</c:v>
                </c:pt>
                <c:pt idx="3">
                  <c:v>26238260.598130841</c:v>
                </c:pt>
                <c:pt idx="4">
                  <c:v>27390921.346012268</c:v>
                </c:pt>
                <c:pt idx="5">
                  <c:v>29365790.859543815</c:v>
                </c:pt>
                <c:pt idx="6">
                  <c:v>31550928.839721255</c:v>
                </c:pt>
                <c:pt idx="7">
                  <c:v>31020431.53585545</c:v>
                </c:pt>
                <c:pt idx="8">
                  <c:v>31822511.496386878</c:v>
                </c:pt>
                <c:pt idx="9">
                  <c:v>31673993.452173911</c:v>
                </c:pt>
                <c:pt idx="10">
                  <c:v>30875454.511381678</c:v>
                </c:pt>
                <c:pt idx="11">
                  <c:v>30970262.322580639</c:v>
                </c:pt>
                <c:pt idx="12">
                  <c:v>32919273.446428567</c:v>
                </c:pt>
                <c:pt idx="13">
                  <c:v>33165715.89001447</c:v>
                </c:pt>
                <c:pt idx="14">
                  <c:v>35069011.357176028</c:v>
                </c:pt>
                <c:pt idx="15">
                  <c:v>36001729.190826885</c:v>
                </c:pt>
                <c:pt idx="16">
                  <c:v>35841316.385398515</c:v>
                </c:pt>
                <c:pt idx="17">
                  <c:v>33965926.639103763</c:v>
                </c:pt>
                <c:pt idx="18">
                  <c:v>33713797.174964063</c:v>
                </c:pt>
                <c:pt idx="19">
                  <c:v>33331066.171874996</c:v>
                </c:pt>
                <c:pt idx="20">
                  <c:v>32073571.829855531</c:v>
                </c:pt>
                <c:pt idx="21">
                  <c:v>33020143.624166735</c:v>
                </c:pt>
                <c:pt idx="22">
                  <c:v>36109567.24772162</c:v>
                </c:pt>
              </c:numCache>
            </c:numRef>
          </c:val>
          <c:smooth val="0"/>
        </c:ser>
        <c:dLbls>
          <c:showLegendKey val="0"/>
          <c:showVal val="0"/>
          <c:showCatName val="0"/>
          <c:showSerName val="0"/>
          <c:showPercent val="0"/>
          <c:showBubbleSize val="0"/>
        </c:dLbls>
        <c:marker val="1"/>
        <c:smooth val="0"/>
        <c:axId val="142870784"/>
        <c:axId val="142876672"/>
      </c:lineChart>
      <c:catAx>
        <c:axId val="142870784"/>
        <c:scaling>
          <c:orientation val="minMax"/>
        </c:scaling>
        <c:delete val="0"/>
        <c:axPos val="b"/>
        <c:numFmt formatCode="0" sourceLinked="1"/>
        <c:majorTickMark val="out"/>
        <c:minorTickMark val="none"/>
        <c:tickLblPos val="nextTo"/>
        <c:crossAx val="142876672"/>
        <c:crosses val="autoZero"/>
        <c:auto val="1"/>
        <c:lblAlgn val="ctr"/>
        <c:lblOffset val="100"/>
        <c:noMultiLvlLbl val="0"/>
      </c:catAx>
      <c:valAx>
        <c:axId val="142876672"/>
        <c:scaling>
          <c:orientation val="minMax"/>
        </c:scaling>
        <c:delete val="0"/>
        <c:axPos val="l"/>
        <c:majorGridlines/>
        <c:numFmt formatCode="General" sourceLinked="1"/>
        <c:majorTickMark val="out"/>
        <c:minorTickMark val="none"/>
        <c:tickLblPos val="nextTo"/>
        <c:crossAx val="142870784"/>
        <c:crosses val="autoZero"/>
        <c:crossBetween val="between"/>
      </c:valAx>
    </c:plotArea>
    <c:legend>
      <c:legendPos val="r"/>
      <c:layout>
        <c:manualLayout>
          <c:xMode val="edge"/>
          <c:yMode val="edge"/>
          <c:x val="0.55309461376182867"/>
          <c:y val="0.48997302420530769"/>
          <c:w val="0.32368540332897155"/>
          <c:h val="0.27931321084864391"/>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47462817147856"/>
          <c:y val="5.1400554097404488E-2"/>
          <c:w val="0.87227427821522319"/>
          <c:h val="0.79523549139690874"/>
        </c:manualLayout>
      </c:layout>
      <c:lineChart>
        <c:grouping val="standard"/>
        <c:varyColors val="0"/>
        <c:ser>
          <c:idx val="0"/>
          <c:order val="0"/>
          <c:tx>
            <c:strRef>
              <c:f>SummarySheet!$A$2</c:f>
              <c:strCache>
                <c:ptCount val="1"/>
                <c:pt idx="0">
                  <c:v>Current $</c:v>
                </c:pt>
              </c:strCache>
            </c:strRef>
          </c:tx>
          <c:marker>
            <c:symbol val="none"/>
          </c:marker>
          <c:cat>
            <c:numRef>
              <c:f>SummarySheet!$B$1:$X$1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SummarySheet!$B$2:$X$2</c:f>
              <c:numCache>
                <c:formatCode>General</c:formatCode>
                <c:ptCount val="23"/>
                <c:pt idx="0">
                  <c:v>1322031634</c:v>
                </c:pt>
                <c:pt idx="1">
                  <c:v>1618651315</c:v>
                </c:pt>
                <c:pt idx="2">
                  <c:v>1659940407</c:v>
                </c:pt>
                <c:pt idx="3">
                  <c:v>1740271604</c:v>
                </c:pt>
                <c:pt idx="4">
                  <c:v>1863969731</c:v>
                </c:pt>
                <c:pt idx="5">
                  <c:v>1971024981</c:v>
                </c:pt>
                <c:pt idx="6">
                  <c:v>2056354580</c:v>
                </c:pt>
                <c:pt idx="7">
                  <c:v>2147695658</c:v>
                </c:pt>
                <c:pt idx="8">
                  <c:v>2304393415</c:v>
                </c:pt>
                <c:pt idx="9">
                  <c:v>2351745765</c:v>
                </c:pt>
                <c:pt idx="10">
                  <c:v>2486137206</c:v>
                </c:pt>
                <c:pt idx="11">
                  <c:v>2779604834</c:v>
                </c:pt>
                <c:pt idx="12">
                  <c:v>2889354191</c:v>
                </c:pt>
                <c:pt idx="13">
                  <c:v>2950580990</c:v>
                </c:pt>
                <c:pt idx="14">
                  <c:v>3055729668</c:v>
                </c:pt>
                <c:pt idx="15">
                  <c:v>3218024521</c:v>
                </c:pt>
                <c:pt idx="16">
                  <c:v>3352013435</c:v>
                </c:pt>
                <c:pt idx="17">
                  <c:v>3450691053</c:v>
                </c:pt>
                <c:pt idx="18">
                  <c:v>3582488782</c:v>
                </c:pt>
                <c:pt idx="19">
                  <c:v>3776906349</c:v>
                </c:pt>
                <c:pt idx="20">
                  <c:v>4081569660.7399998</c:v>
                </c:pt>
                <c:pt idx="21">
                  <c:v>4473017112.8400002</c:v>
                </c:pt>
                <c:pt idx="22">
                  <c:v>4942508921</c:v>
                </c:pt>
              </c:numCache>
            </c:numRef>
          </c:val>
          <c:smooth val="0"/>
        </c:ser>
        <c:ser>
          <c:idx val="1"/>
          <c:order val="1"/>
          <c:tx>
            <c:strRef>
              <c:f>SummarySheet!$A$7</c:f>
              <c:strCache>
                <c:ptCount val="1"/>
                <c:pt idx="0">
                  <c:v>Constant $</c:v>
                </c:pt>
              </c:strCache>
            </c:strRef>
          </c:tx>
          <c:marker>
            <c:symbol val="none"/>
          </c:marker>
          <c:cat>
            <c:numRef>
              <c:f>SummarySheet!$B$1:$X$1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SummarySheet!$B$7:$X$7</c:f>
              <c:numCache>
                <c:formatCode>General</c:formatCode>
                <c:ptCount val="23"/>
                <c:pt idx="0">
                  <c:v>1322031634</c:v>
                </c:pt>
                <c:pt idx="1">
                  <c:v>1574042814.1929133</c:v>
                </c:pt>
                <c:pt idx="2">
                  <c:v>1567897822.2906308</c:v>
                </c:pt>
                <c:pt idx="3">
                  <c:v>1606904995.0953271</c:v>
                </c:pt>
                <c:pt idx="4">
                  <c:v>1694725853.584049</c:v>
                </c:pt>
                <c:pt idx="5">
                  <c:v>1753336747.8043215</c:v>
                </c:pt>
                <c:pt idx="6">
                  <c:v>1769754638.5365853</c:v>
                </c:pt>
                <c:pt idx="7">
                  <c:v>1797224712.1151891</c:v>
                </c:pt>
                <c:pt idx="8">
                  <c:v>1898338544.2078931</c:v>
                </c:pt>
                <c:pt idx="9">
                  <c:v>1894177838.9836955</c:v>
                </c:pt>
                <c:pt idx="10">
                  <c:v>1950479269.0799363</c:v>
                </c:pt>
                <c:pt idx="11">
                  <c:v>2109254666.660522</c:v>
                </c:pt>
                <c:pt idx="12">
                  <c:v>2124019301.1220236</c:v>
                </c:pt>
                <c:pt idx="13">
                  <c:v>2109387856.8162081</c:v>
                </c:pt>
                <c:pt idx="14">
                  <c:v>2103386608.4421735</c:v>
                </c:pt>
                <c:pt idx="15">
                  <c:v>2222947860.5956931</c:v>
                </c:pt>
                <c:pt idx="16">
                  <c:v>2278127080.0100889</c:v>
                </c:pt>
                <c:pt idx="17">
                  <c:v>2273461429.9573216</c:v>
                </c:pt>
                <c:pt idx="18">
                  <c:v>2312491125.4514565</c:v>
                </c:pt>
                <c:pt idx="19">
                  <c:v>2402719440.7700891</c:v>
                </c:pt>
                <c:pt idx="20">
                  <c:v>2555075710.5756016</c:v>
                </c:pt>
                <c:pt idx="21">
                  <c:v>2796815189.1101508</c:v>
                </c:pt>
                <c:pt idx="22">
                  <c:v>3034299180.1665282</c:v>
                </c:pt>
              </c:numCache>
            </c:numRef>
          </c:val>
          <c:smooth val="0"/>
        </c:ser>
        <c:dLbls>
          <c:showLegendKey val="0"/>
          <c:showVal val="0"/>
          <c:showCatName val="0"/>
          <c:showSerName val="0"/>
          <c:showPercent val="0"/>
          <c:showBubbleSize val="0"/>
        </c:dLbls>
        <c:marker val="1"/>
        <c:smooth val="0"/>
        <c:axId val="141197312"/>
        <c:axId val="141198848"/>
      </c:lineChart>
      <c:catAx>
        <c:axId val="141197312"/>
        <c:scaling>
          <c:orientation val="minMax"/>
        </c:scaling>
        <c:delete val="0"/>
        <c:axPos val="b"/>
        <c:numFmt formatCode="General" sourceLinked="1"/>
        <c:majorTickMark val="out"/>
        <c:minorTickMark val="none"/>
        <c:tickLblPos val="nextTo"/>
        <c:crossAx val="141198848"/>
        <c:crosses val="autoZero"/>
        <c:auto val="1"/>
        <c:lblAlgn val="ctr"/>
        <c:lblOffset val="100"/>
        <c:noMultiLvlLbl val="0"/>
      </c:catAx>
      <c:valAx>
        <c:axId val="141198848"/>
        <c:scaling>
          <c:orientation val="minMax"/>
        </c:scaling>
        <c:delete val="0"/>
        <c:axPos val="l"/>
        <c:majorGridlines/>
        <c:numFmt formatCode="#,##0.00" sourceLinked="0"/>
        <c:majorTickMark val="out"/>
        <c:minorTickMark val="none"/>
        <c:tickLblPos val="nextTo"/>
        <c:crossAx val="141197312"/>
        <c:crosses val="autoZero"/>
        <c:crossBetween val="between"/>
      </c:valAx>
    </c:plotArea>
    <c:legend>
      <c:legendPos val="r"/>
      <c:layout>
        <c:manualLayout>
          <c:xMode val="edge"/>
          <c:yMode val="edge"/>
          <c:x val="0.28182742782152231"/>
          <c:y val="0.11497302420530767"/>
          <c:w val="0.31425109361329834"/>
          <c:h val="0.27931321084864391"/>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22926300879057"/>
          <c:y val="3.1296743298208231E-2"/>
          <c:w val="0.85364446110902803"/>
          <c:h val="0.77828247507400228"/>
        </c:manualLayout>
      </c:layout>
      <c:lineChart>
        <c:grouping val="standard"/>
        <c:varyColors val="0"/>
        <c:ser>
          <c:idx val="0"/>
          <c:order val="0"/>
          <c:tx>
            <c:strRef>
              <c:f>TIFInside!$A$23</c:f>
              <c:strCache>
                <c:ptCount val="1"/>
                <c:pt idx="0">
                  <c:v>TAVInside2003 (constant)</c:v>
                </c:pt>
              </c:strCache>
            </c:strRef>
          </c:tx>
          <c:marker>
            <c:symbol val="none"/>
          </c:marker>
          <c:cat>
            <c:numRef>
              <c:f>TIFInside!$B$21:$X$21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TIFInside!$B$23:$X$23</c:f>
              <c:numCache>
                <c:formatCode>General</c:formatCode>
                <c:ptCount val="23"/>
                <c:pt idx="0">
                  <c:v>0</c:v>
                </c:pt>
                <c:pt idx="1">
                  <c:v>0</c:v>
                </c:pt>
                <c:pt idx="2">
                  <c:v>0</c:v>
                </c:pt>
                <c:pt idx="3">
                  <c:v>0</c:v>
                </c:pt>
                <c:pt idx="4">
                  <c:v>0</c:v>
                </c:pt>
                <c:pt idx="5">
                  <c:v>0</c:v>
                </c:pt>
                <c:pt idx="6">
                  <c:v>132269.79094076654</c:v>
                </c:pt>
                <c:pt idx="7">
                  <c:v>128610.1524562394</c:v>
                </c:pt>
                <c:pt idx="8">
                  <c:v>135661.07726514729</c:v>
                </c:pt>
                <c:pt idx="9">
                  <c:v>132638.19456521739</c:v>
                </c:pt>
                <c:pt idx="10">
                  <c:v>140324.76654314451</c:v>
                </c:pt>
                <c:pt idx="11">
                  <c:v>260470.03686635941</c:v>
                </c:pt>
                <c:pt idx="12">
                  <c:v>249912.54166666666</c:v>
                </c:pt>
                <c:pt idx="13">
                  <c:v>250199.20405209839</c:v>
                </c:pt>
                <c:pt idx="14">
                  <c:v>264708.05294937297</c:v>
                </c:pt>
                <c:pt idx="15">
                  <c:v>265645.77141791739</c:v>
                </c:pt>
                <c:pt idx="16">
                  <c:v>261357.62542419517</c:v>
                </c:pt>
                <c:pt idx="17">
                  <c:v>253363.75833555614</c:v>
                </c:pt>
                <c:pt idx="18">
                  <c:v>248232.25663138635</c:v>
                </c:pt>
                <c:pt idx="19">
                  <c:v>244641.32812499997</c:v>
                </c:pt>
                <c:pt idx="20">
                  <c:v>240735.16853932579</c:v>
                </c:pt>
                <c:pt idx="21">
                  <c:v>250884.55488988271</c:v>
                </c:pt>
                <c:pt idx="22">
                  <c:v>266680.19055509521</c:v>
                </c:pt>
              </c:numCache>
            </c:numRef>
          </c:val>
          <c:smooth val="0"/>
        </c:ser>
        <c:ser>
          <c:idx val="1"/>
          <c:order val="1"/>
          <c:tx>
            <c:strRef>
              <c:f>TIFInside!$A$24</c:f>
              <c:strCache>
                <c:ptCount val="1"/>
                <c:pt idx="0">
                  <c:v>TAVInside2004 (constant)</c:v>
                </c:pt>
              </c:strCache>
            </c:strRef>
          </c:tx>
          <c:marker>
            <c:symbol val="none"/>
          </c:marker>
          <c:cat>
            <c:numRef>
              <c:f>TIFInside!$B$21:$X$21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TIFInside!$B$24:$X$24</c:f>
              <c:numCache>
                <c:formatCode>General</c:formatCode>
                <c:ptCount val="23"/>
                <c:pt idx="0">
                  <c:v>0</c:v>
                </c:pt>
                <c:pt idx="1">
                  <c:v>0</c:v>
                </c:pt>
                <c:pt idx="2">
                  <c:v>0</c:v>
                </c:pt>
                <c:pt idx="3">
                  <c:v>0</c:v>
                </c:pt>
                <c:pt idx="4">
                  <c:v>0</c:v>
                </c:pt>
                <c:pt idx="5">
                  <c:v>0</c:v>
                </c:pt>
                <c:pt idx="6">
                  <c:v>150093.37979094076</c:v>
                </c:pt>
                <c:pt idx="7">
                  <c:v>145940.59853190288</c:v>
                </c:pt>
                <c:pt idx="8">
                  <c:v>153941.82323513061</c:v>
                </c:pt>
                <c:pt idx="9">
                  <c:v>150511.59782608695</c:v>
                </c:pt>
                <c:pt idx="10">
                  <c:v>146607.37956590788</c:v>
                </c:pt>
                <c:pt idx="11">
                  <c:v>794596.34408602142</c:v>
                </c:pt>
                <c:pt idx="12">
                  <c:v>772995.32142857136</c:v>
                </c:pt>
                <c:pt idx="13">
                  <c:v>751740.74674384936</c:v>
                </c:pt>
                <c:pt idx="14">
                  <c:v>723807.97398978169</c:v>
                </c:pt>
                <c:pt idx="15">
                  <c:v>726372.03691619274</c:v>
                </c:pt>
                <c:pt idx="16">
                  <c:v>714646.68806750432</c:v>
                </c:pt>
                <c:pt idx="17">
                  <c:v>692788.55161376367</c:v>
                </c:pt>
                <c:pt idx="18">
                  <c:v>678757.16189729504</c:v>
                </c:pt>
                <c:pt idx="19">
                  <c:v>892803.85044642841</c:v>
                </c:pt>
                <c:pt idx="20">
                  <c:v>878548.55537720688</c:v>
                </c:pt>
                <c:pt idx="21">
                  <c:v>1040412.5204624082</c:v>
                </c:pt>
                <c:pt idx="22">
                  <c:v>869782.97597348783</c:v>
                </c:pt>
              </c:numCache>
            </c:numRef>
          </c:val>
          <c:smooth val="0"/>
        </c:ser>
        <c:ser>
          <c:idx val="3"/>
          <c:order val="2"/>
          <c:tx>
            <c:strRef>
              <c:f>TIFInside!$A$26</c:f>
              <c:strCache>
                <c:ptCount val="1"/>
                <c:pt idx="0">
                  <c:v>TAVInside2007 (constant)</c:v>
                </c:pt>
              </c:strCache>
            </c:strRef>
          </c:tx>
          <c:marker>
            <c:symbol val="none"/>
          </c:marker>
          <c:cat>
            <c:numRef>
              <c:f>TIFInside!$B$21:$X$21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TIFInside!$B$26:$X$26</c:f>
              <c:numCache>
                <c:formatCode>General</c:formatCode>
                <c:ptCount val="23"/>
                <c:pt idx="0">
                  <c:v>3474264</c:v>
                </c:pt>
                <c:pt idx="1">
                  <c:v>3674874.7519685039</c:v>
                </c:pt>
                <c:pt idx="2">
                  <c:v>3795838.3824091777</c:v>
                </c:pt>
                <c:pt idx="3">
                  <c:v>3542316.1046728971</c:v>
                </c:pt>
                <c:pt idx="4">
                  <c:v>3152744.9742331286</c:v>
                </c:pt>
                <c:pt idx="5">
                  <c:v>3463087.9627851136</c:v>
                </c:pt>
                <c:pt idx="6">
                  <c:v>161822.86759581883</c:v>
                </c:pt>
                <c:pt idx="7">
                  <c:v>157345.55505364202</c:v>
                </c:pt>
                <c:pt idx="8">
                  <c:v>165196.45580878266</c:v>
                </c:pt>
                <c:pt idx="9">
                  <c:v>196994.84999999998</c:v>
                </c:pt>
                <c:pt idx="10">
                  <c:v>200140.60878771835</c:v>
                </c:pt>
                <c:pt idx="11">
                  <c:v>199591.17665130566</c:v>
                </c:pt>
                <c:pt idx="12">
                  <c:v>213780.70535714284</c:v>
                </c:pt>
                <c:pt idx="13">
                  <c:v>713680.58465991309</c:v>
                </c:pt>
                <c:pt idx="14">
                  <c:v>1193527.6330701346</c:v>
                </c:pt>
                <c:pt idx="15">
                  <c:v>1319688.0497809267</c:v>
                </c:pt>
                <c:pt idx="16">
                  <c:v>1376008.3875997432</c:v>
                </c:pt>
                <c:pt idx="17">
                  <c:v>1333921.8858362229</c:v>
                </c:pt>
                <c:pt idx="18">
                  <c:v>1306905.3051091074</c:v>
                </c:pt>
                <c:pt idx="19">
                  <c:v>1287999.6093749998</c:v>
                </c:pt>
                <c:pt idx="20">
                  <c:v>938933.45104333851</c:v>
                </c:pt>
                <c:pt idx="21">
                  <c:v>980960.57294743054</c:v>
                </c:pt>
                <c:pt idx="22">
                  <c:v>1375045.5211267604</c:v>
                </c:pt>
              </c:numCache>
            </c:numRef>
          </c:val>
          <c:smooth val="0"/>
        </c:ser>
        <c:ser>
          <c:idx val="4"/>
          <c:order val="3"/>
          <c:tx>
            <c:strRef>
              <c:f>TIFInside!$A$27</c:f>
              <c:strCache>
                <c:ptCount val="1"/>
                <c:pt idx="0">
                  <c:v>TAVInside2008 (constant)</c:v>
                </c:pt>
              </c:strCache>
            </c:strRef>
          </c:tx>
          <c:marker>
            <c:symbol val="none"/>
          </c:marker>
          <c:cat>
            <c:numRef>
              <c:f>TIFInside!$B$21:$X$21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TIFInside!$B$27:$X$27</c:f>
              <c:numCache>
                <c:formatCode>General</c:formatCode>
                <c:ptCount val="23"/>
                <c:pt idx="0">
                  <c:v>10543</c:v>
                </c:pt>
                <c:pt idx="1">
                  <c:v>11573.99212598425</c:v>
                </c:pt>
                <c:pt idx="2">
                  <c:v>11242.04206500956</c:v>
                </c:pt>
                <c:pt idx="3">
                  <c:v>10989.884112149532</c:v>
                </c:pt>
                <c:pt idx="4">
                  <c:v>10821.327607361964</c:v>
                </c:pt>
                <c:pt idx="5">
                  <c:v>10587.493397358943</c:v>
                </c:pt>
                <c:pt idx="6">
                  <c:v>10243.184668989548</c:v>
                </c:pt>
                <c:pt idx="7">
                  <c:v>9959.7763975155285</c:v>
                </c:pt>
                <c:pt idx="8">
                  <c:v>10380.590327959977</c:v>
                </c:pt>
                <c:pt idx="9">
                  <c:v>10149.283695652173</c:v>
                </c:pt>
                <c:pt idx="10">
                  <c:v>10996.14187400741</c:v>
                </c:pt>
                <c:pt idx="11">
                  <c:v>18192.251920122886</c:v>
                </c:pt>
                <c:pt idx="12">
                  <c:v>20214.303571428569</c:v>
                </c:pt>
                <c:pt idx="13">
                  <c:v>19658.483357452966</c:v>
                </c:pt>
                <c:pt idx="14">
                  <c:v>59017.053413841146</c:v>
                </c:pt>
                <c:pt idx="15">
                  <c:v>967175.27733755938</c:v>
                </c:pt>
                <c:pt idx="16">
                  <c:v>989191.84352930379</c:v>
                </c:pt>
                <c:pt idx="17">
                  <c:v>856300.70685516135</c:v>
                </c:pt>
                <c:pt idx="18">
                  <c:v>838957.62446099555</c:v>
                </c:pt>
                <c:pt idx="19">
                  <c:v>826821.2611607142</c:v>
                </c:pt>
                <c:pt idx="20">
                  <c:v>813619.50240770448</c:v>
                </c:pt>
                <c:pt idx="21">
                  <c:v>812658.34528731753</c:v>
                </c:pt>
                <c:pt idx="22">
                  <c:v>812686.68516984244</c:v>
                </c:pt>
              </c:numCache>
            </c:numRef>
          </c:val>
          <c:smooth val="0"/>
        </c:ser>
        <c:dLbls>
          <c:showLegendKey val="0"/>
          <c:showVal val="0"/>
          <c:showCatName val="0"/>
          <c:showSerName val="0"/>
          <c:showPercent val="0"/>
          <c:showBubbleSize val="0"/>
        </c:dLbls>
        <c:marker val="1"/>
        <c:smooth val="0"/>
        <c:axId val="141243520"/>
        <c:axId val="141245056"/>
      </c:lineChart>
      <c:catAx>
        <c:axId val="141243520"/>
        <c:scaling>
          <c:orientation val="minMax"/>
        </c:scaling>
        <c:delete val="0"/>
        <c:axPos val="b"/>
        <c:numFmt formatCode="General" sourceLinked="1"/>
        <c:majorTickMark val="out"/>
        <c:minorTickMark val="none"/>
        <c:tickLblPos val="nextTo"/>
        <c:crossAx val="141245056"/>
        <c:crosses val="autoZero"/>
        <c:auto val="1"/>
        <c:lblAlgn val="ctr"/>
        <c:lblOffset val="100"/>
        <c:noMultiLvlLbl val="0"/>
      </c:catAx>
      <c:valAx>
        <c:axId val="141245056"/>
        <c:scaling>
          <c:orientation val="minMax"/>
        </c:scaling>
        <c:delete val="0"/>
        <c:axPos val="l"/>
        <c:majorGridlines/>
        <c:numFmt formatCode="#,##0" sourceLinked="0"/>
        <c:majorTickMark val="out"/>
        <c:minorTickMark val="none"/>
        <c:tickLblPos val="nextTo"/>
        <c:crossAx val="141243520"/>
        <c:crosses val="autoZero"/>
        <c:crossBetween val="between"/>
      </c:valAx>
    </c:plotArea>
    <c:legend>
      <c:legendPos val="r"/>
      <c:layout>
        <c:manualLayout>
          <c:xMode val="edge"/>
          <c:yMode val="edge"/>
          <c:x val="0.59247863247863242"/>
          <c:y val="6.1796348938810766E-2"/>
          <c:w val="0.33786326709161357"/>
          <c:h val="0.42425062681861253"/>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48840769903763"/>
          <c:y val="5.1400554097404488E-2"/>
          <c:w val="0.81621916010498696"/>
          <c:h val="0.79523549139690874"/>
        </c:manualLayout>
      </c:layout>
      <c:lineChart>
        <c:grouping val="standard"/>
        <c:varyColors val="0"/>
        <c:ser>
          <c:idx val="0"/>
          <c:order val="0"/>
          <c:tx>
            <c:strRef>
              <c:f>TIFInside!$A$28</c:f>
              <c:strCache>
                <c:ptCount val="1"/>
                <c:pt idx="0">
                  <c:v>TAVInside2010 (constant)</c:v>
                </c:pt>
              </c:strCache>
            </c:strRef>
          </c:tx>
          <c:marker>
            <c:symbol val="none"/>
          </c:marker>
          <c:cat>
            <c:numRef>
              <c:f>TIFInside!$B$21:$X$21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TIFInside!$B$28:$X$28</c:f>
              <c:numCache>
                <c:formatCode>General</c:formatCode>
                <c:ptCount val="23"/>
                <c:pt idx="0">
                  <c:v>135752</c:v>
                </c:pt>
                <c:pt idx="1">
                  <c:v>162339.29133858267</c:v>
                </c:pt>
                <c:pt idx="2">
                  <c:v>157683.28871892925</c:v>
                </c:pt>
                <c:pt idx="3">
                  <c:v>231062.72897196261</c:v>
                </c:pt>
                <c:pt idx="4">
                  <c:v>244349.06871165644</c:v>
                </c:pt>
                <c:pt idx="5">
                  <c:v>258580.53421368546</c:v>
                </c:pt>
                <c:pt idx="6">
                  <c:v>249346.93031358885</c:v>
                </c:pt>
                <c:pt idx="7">
                  <c:v>242448.00338791643</c:v>
                </c:pt>
                <c:pt idx="8">
                  <c:v>255475.71095052807</c:v>
                </c:pt>
                <c:pt idx="9">
                  <c:v>249783.0456521739</c:v>
                </c:pt>
                <c:pt idx="10">
                  <c:v>243088.01164637372</c:v>
                </c:pt>
                <c:pt idx="11">
                  <c:v>266517.93241167429</c:v>
                </c:pt>
                <c:pt idx="12">
                  <c:v>257349.74107142855</c:v>
                </c:pt>
                <c:pt idx="13">
                  <c:v>250273.55426917507</c:v>
                </c:pt>
                <c:pt idx="14">
                  <c:v>222801.80120761727</c:v>
                </c:pt>
                <c:pt idx="15">
                  <c:v>273515.8310804512</c:v>
                </c:pt>
                <c:pt idx="16">
                  <c:v>1946847.5208658166</c:v>
                </c:pt>
                <c:pt idx="17">
                  <c:v>3317456.4070418775</c:v>
                </c:pt>
                <c:pt idx="18">
                  <c:v>3250266.3190905522</c:v>
                </c:pt>
                <c:pt idx="19">
                  <c:v>3203247.9575892854</c:v>
                </c:pt>
                <c:pt idx="20">
                  <c:v>3152102.0706260027</c:v>
                </c:pt>
                <c:pt idx="21">
                  <c:v>3160394.0747616235</c:v>
                </c:pt>
                <c:pt idx="22">
                  <c:v>3215593.7497928743</c:v>
                </c:pt>
              </c:numCache>
            </c:numRef>
          </c:val>
          <c:smooth val="0"/>
        </c:ser>
        <c:ser>
          <c:idx val="1"/>
          <c:order val="1"/>
          <c:tx>
            <c:strRef>
              <c:f>TIFInside!$A$29</c:f>
              <c:strCache>
                <c:ptCount val="1"/>
                <c:pt idx="0">
                  <c:v>TAVInside2011 (constant)</c:v>
                </c:pt>
              </c:strCache>
            </c:strRef>
          </c:tx>
          <c:marker>
            <c:symbol val="none"/>
          </c:marker>
          <c:cat>
            <c:numRef>
              <c:f>TIFInside!$B$21:$X$21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TIFInside!$B$29:$X$29</c:f>
              <c:numCache>
                <c:formatCode>General</c:formatCode>
                <c:ptCount val="23"/>
                <c:pt idx="0">
                  <c:v>383325</c:v>
                </c:pt>
                <c:pt idx="1">
                  <c:v>455768.48425196845</c:v>
                </c:pt>
                <c:pt idx="2">
                  <c:v>442696.73040152958</c:v>
                </c:pt>
                <c:pt idx="3">
                  <c:v>432767.08411214955</c:v>
                </c:pt>
                <c:pt idx="4">
                  <c:v>461700.27975460119</c:v>
                </c:pt>
                <c:pt idx="5">
                  <c:v>455154.57983193273</c:v>
                </c:pt>
                <c:pt idx="6">
                  <c:v>433276.72822299652</c:v>
                </c:pt>
                <c:pt idx="7">
                  <c:v>426113.91191417276</c:v>
                </c:pt>
                <c:pt idx="8">
                  <c:v>465642.91717620898</c:v>
                </c:pt>
                <c:pt idx="9">
                  <c:v>455267.17826086952</c:v>
                </c:pt>
                <c:pt idx="10">
                  <c:v>546523.78507146635</c:v>
                </c:pt>
                <c:pt idx="11">
                  <c:v>848742.84178187395</c:v>
                </c:pt>
                <c:pt idx="12">
                  <c:v>2685375.1785714282</c:v>
                </c:pt>
                <c:pt idx="13">
                  <c:v>2662159.5658465987</c:v>
                </c:pt>
                <c:pt idx="14">
                  <c:v>2713040.1987923826</c:v>
                </c:pt>
                <c:pt idx="15">
                  <c:v>1753518.785308101</c:v>
                </c:pt>
                <c:pt idx="16">
                  <c:v>1745866.1377602494</c:v>
                </c:pt>
                <c:pt idx="17">
                  <c:v>3331591.8698319551</c:v>
                </c:pt>
                <c:pt idx="18">
                  <c:v>3540825.2031882918</c:v>
                </c:pt>
                <c:pt idx="19">
                  <c:v>3873802.7008928563</c:v>
                </c:pt>
                <c:pt idx="20">
                  <c:v>3808860.8186195819</c:v>
                </c:pt>
                <c:pt idx="21">
                  <c:v>4181073.8984051975</c:v>
                </c:pt>
                <c:pt idx="22">
                  <c:v>4367700.7953603966</c:v>
                </c:pt>
              </c:numCache>
            </c:numRef>
          </c:val>
          <c:smooth val="0"/>
        </c:ser>
        <c:ser>
          <c:idx val="2"/>
          <c:order val="2"/>
          <c:tx>
            <c:strRef>
              <c:f>TIFInside!$A$30</c:f>
              <c:strCache>
                <c:ptCount val="1"/>
                <c:pt idx="0">
                  <c:v>TAVInside2013 (constant)</c:v>
                </c:pt>
              </c:strCache>
            </c:strRef>
          </c:tx>
          <c:marker>
            <c:symbol val="none"/>
          </c:marker>
          <c:cat>
            <c:numRef>
              <c:f>TIFInside!$B$21:$X$21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TIFInside!$B$30:$X$30</c:f>
              <c:numCache>
                <c:formatCode>General</c:formatCode>
                <c:ptCount val="23"/>
                <c:pt idx="0">
                  <c:v>5506338</c:v>
                </c:pt>
                <c:pt idx="1">
                  <c:v>6162912.5590551179</c:v>
                </c:pt>
                <c:pt idx="2">
                  <c:v>6633173.1931166342</c:v>
                </c:pt>
                <c:pt idx="3">
                  <c:v>6469396.2990654204</c:v>
                </c:pt>
                <c:pt idx="4">
                  <c:v>6135484.5460122693</c:v>
                </c:pt>
                <c:pt idx="5">
                  <c:v>6527030.448979591</c:v>
                </c:pt>
                <c:pt idx="6">
                  <c:v>6994262.8536585364</c:v>
                </c:pt>
                <c:pt idx="7">
                  <c:v>6954636.0440429132</c:v>
                </c:pt>
                <c:pt idx="8">
                  <c:v>7524845.5264035575</c:v>
                </c:pt>
                <c:pt idx="9">
                  <c:v>7579396.6271739127</c:v>
                </c:pt>
                <c:pt idx="10">
                  <c:v>7497839.6855479078</c:v>
                </c:pt>
                <c:pt idx="11">
                  <c:v>6851619.8863287242</c:v>
                </c:pt>
                <c:pt idx="12">
                  <c:v>6410142.5297619039</c:v>
                </c:pt>
                <c:pt idx="13">
                  <c:v>6601847.4558610702</c:v>
                </c:pt>
                <c:pt idx="14">
                  <c:v>5985014.6669763122</c:v>
                </c:pt>
                <c:pt idx="15">
                  <c:v>6007955.0536030577</c:v>
                </c:pt>
                <c:pt idx="16">
                  <c:v>5902084.3694396038</c:v>
                </c:pt>
                <c:pt idx="17">
                  <c:v>5736386.2416644432</c:v>
                </c:pt>
                <c:pt idx="18">
                  <c:v>5638648.8435907476</c:v>
                </c:pt>
                <c:pt idx="19">
                  <c:v>6232474.1517857136</c:v>
                </c:pt>
                <c:pt idx="20">
                  <c:v>6193397.1910112351</c:v>
                </c:pt>
                <c:pt idx="21">
                  <c:v>7170386.4484009789</c:v>
                </c:pt>
                <c:pt idx="22">
                  <c:v>10628202.290803643</c:v>
                </c:pt>
              </c:numCache>
            </c:numRef>
          </c:val>
          <c:smooth val="0"/>
        </c:ser>
        <c:dLbls>
          <c:showLegendKey val="0"/>
          <c:showVal val="0"/>
          <c:showCatName val="0"/>
          <c:showSerName val="0"/>
          <c:showPercent val="0"/>
          <c:showBubbleSize val="0"/>
        </c:dLbls>
        <c:marker val="1"/>
        <c:smooth val="0"/>
        <c:axId val="141265920"/>
        <c:axId val="141271808"/>
      </c:lineChart>
      <c:catAx>
        <c:axId val="141265920"/>
        <c:scaling>
          <c:orientation val="minMax"/>
        </c:scaling>
        <c:delete val="0"/>
        <c:axPos val="b"/>
        <c:numFmt formatCode="General" sourceLinked="1"/>
        <c:majorTickMark val="out"/>
        <c:minorTickMark val="none"/>
        <c:tickLblPos val="nextTo"/>
        <c:crossAx val="141271808"/>
        <c:crosses val="autoZero"/>
        <c:auto val="1"/>
        <c:lblAlgn val="ctr"/>
        <c:lblOffset val="100"/>
        <c:noMultiLvlLbl val="0"/>
      </c:catAx>
      <c:valAx>
        <c:axId val="141271808"/>
        <c:scaling>
          <c:orientation val="minMax"/>
        </c:scaling>
        <c:delete val="0"/>
        <c:axPos val="l"/>
        <c:majorGridlines/>
        <c:numFmt formatCode="#,##0" sourceLinked="0"/>
        <c:majorTickMark val="out"/>
        <c:minorTickMark val="none"/>
        <c:tickLblPos val="nextTo"/>
        <c:crossAx val="141265920"/>
        <c:crosses val="autoZero"/>
        <c:crossBetween val="between"/>
      </c:valAx>
    </c:plotArea>
    <c:legend>
      <c:legendPos val="r"/>
      <c:layout>
        <c:manualLayout>
          <c:xMode val="edge"/>
          <c:yMode val="edge"/>
          <c:x val="0.58392386289440346"/>
          <c:y val="8.306052652509345E-2"/>
          <c:w val="0.28660360745641622"/>
          <c:h val="0.23461425276385905"/>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36630577427822"/>
          <c:y val="5.1400554097404488E-2"/>
          <c:w val="0.84609465223097113"/>
          <c:h val="0.76317512394284048"/>
        </c:manualLayout>
      </c:layout>
      <c:lineChart>
        <c:grouping val="standard"/>
        <c:varyColors val="0"/>
        <c:ser>
          <c:idx val="0"/>
          <c:order val="0"/>
          <c:tx>
            <c:strRef>
              <c:f>TIFInside!$A$31</c:f>
              <c:strCache>
                <c:ptCount val="1"/>
                <c:pt idx="0">
                  <c:v>TAVInside2014 (constant)</c:v>
                </c:pt>
              </c:strCache>
            </c:strRef>
          </c:tx>
          <c:marker>
            <c:symbol val="none"/>
          </c:marker>
          <c:cat>
            <c:numRef>
              <c:f>TIFInside!$B$21:$X$21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TIFInside!$B$31:$X$31</c:f>
              <c:numCache>
                <c:formatCode>General</c:formatCode>
                <c:ptCount val="23"/>
                <c:pt idx="0">
                  <c:v>1199628</c:v>
                </c:pt>
                <c:pt idx="1">
                  <c:v>1412106.7795275589</c:v>
                </c:pt>
                <c:pt idx="2">
                  <c:v>1406225.3116634798</c:v>
                </c:pt>
                <c:pt idx="3">
                  <c:v>1256856.0373831776</c:v>
                </c:pt>
                <c:pt idx="4">
                  <c:v>1254653.9263803679</c:v>
                </c:pt>
                <c:pt idx="5">
                  <c:v>1249994.0564225689</c:v>
                </c:pt>
                <c:pt idx="6">
                  <c:v>1211433.4459930314</c:v>
                </c:pt>
                <c:pt idx="7">
                  <c:v>1181597.5121400338</c:v>
                </c:pt>
                <c:pt idx="8">
                  <c:v>1170498.2634797108</c:v>
                </c:pt>
                <c:pt idx="9">
                  <c:v>1144416.508695652</c:v>
                </c:pt>
                <c:pt idx="10">
                  <c:v>1125253.8073054524</c:v>
                </c:pt>
                <c:pt idx="11">
                  <c:v>1118548.7956989247</c:v>
                </c:pt>
                <c:pt idx="12">
                  <c:v>1443089.413690476</c:v>
                </c:pt>
                <c:pt idx="13">
                  <c:v>1403409.6758321272</c:v>
                </c:pt>
                <c:pt idx="14">
                  <c:v>2117687.8272178355</c:v>
                </c:pt>
                <c:pt idx="15">
                  <c:v>2147610.3132283026</c:v>
                </c:pt>
                <c:pt idx="16">
                  <c:v>2138772.8414197927</c:v>
                </c:pt>
                <c:pt idx="17">
                  <c:v>2073356.476393705</c:v>
                </c:pt>
                <c:pt idx="18">
                  <c:v>2217566.193649549</c:v>
                </c:pt>
                <c:pt idx="19">
                  <c:v>2243754.7433035709</c:v>
                </c:pt>
                <c:pt idx="20">
                  <c:v>1923140.7062600318</c:v>
                </c:pt>
                <c:pt idx="21">
                  <c:v>6756281.1838663397</c:v>
                </c:pt>
                <c:pt idx="22">
                  <c:v>14666118.795360396</c:v>
                </c:pt>
              </c:numCache>
            </c:numRef>
          </c:val>
          <c:smooth val="0"/>
        </c:ser>
        <c:ser>
          <c:idx val="1"/>
          <c:order val="1"/>
          <c:tx>
            <c:strRef>
              <c:f>TIFInside!$A$32</c:f>
              <c:strCache>
                <c:ptCount val="1"/>
                <c:pt idx="0">
                  <c:v>TAVInside2015 (constant)</c:v>
                </c:pt>
              </c:strCache>
            </c:strRef>
          </c:tx>
          <c:marker>
            <c:symbol val="none"/>
          </c:marker>
          <c:cat>
            <c:numRef>
              <c:f>TIFInside!$B$21:$X$21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TIFInside!$B$32:$X$32</c:f>
              <c:numCache>
                <c:formatCode>General</c:formatCode>
                <c:ptCount val="23"/>
                <c:pt idx="0">
                  <c:v>2913084</c:v>
                </c:pt>
                <c:pt idx="1">
                  <c:v>2726790.5354330707</c:v>
                </c:pt>
                <c:pt idx="2">
                  <c:v>2648584.3059273423</c:v>
                </c:pt>
                <c:pt idx="3">
                  <c:v>2589176.8074766356</c:v>
                </c:pt>
                <c:pt idx="4">
                  <c:v>2530546.8220858895</c:v>
                </c:pt>
                <c:pt idx="5">
                  <c:v>2520634.7034813925</c:v>
                </c:pt>
                <c:pt idx="6">
                  <c:v>2417689.3588850177</c:v>
                </c:pt>
                <c:pt idx="7">
                  <c:v>2350796.7679277244</c:v>
                </c:pt>
                <c:pt idx="8">
                  <c:v>1858573.8110061144</c:v>
                </c:pt>
                <c:pt idx="9">
                  <c:v>1817159.9380434782</c:v>
                </c:pt>
                <c:pt idx="10">
                  <c:v>1764392.001058761</c:v>
                </c:pt>
                <c:pt idx="11">
                  <c:v>1701900.5714285711</c:v>
                </c:pt>
                <c:pt idx="12">
                  <c:v>1704125.0416666665</c:v>
                </c:pt>
                <c:pt idx="13">
                  <c:v>1654508.2315484802</c:v>
                </c:pt>
                <c:pt idx="14">
                  <c:v>1662128.7366465395</c:v>
                </c:pt>
                <c:pt idx="15">
                  <c:v>1712596.2710916379</c:v>
                </c:pt>
                <c:pt idx="16">
                  <c:v>1653054.5794735393</c:v>
                </c:pt>
                <c:pt idx="17">
                  <c:v>1596703.1368364897</c:v>
                </c:pt>
                <c:pt idx="18">
                  <c:v>1564364.3172612046</c:v>
                </c:pt>
                <c:pt idx="19">
                  <c:v>1541734.2187499998</c:v>
                </c:pt>
                <c:pt idx="20">
                  <c:v>1455993.9486356338</c:v>
                </c:pt>
                <c:pt idx="21">
                  <c:v>1977146.9420302084</c:v>
                </c:pt>
                <c:pt idx="22">
                  <c:v>7407212.8086164035</c:v>
                </c:pt>
              </c:numCache>
            </c:numRef>
          </c:val>
          <c:smooth val="0"/>
        </c:ser>
        <c:ser>
          <c:idx val="2"/>
          <c:order val="2"/>
          <c:tx>
            <c:strRef>
              <c:f>TIFInside!$A$33</c:f>
              <c:strCache>
                <c:ptCount val="1"/>
                <c:pt idx="0">
                  <c:v>TAVInside2016 (constant)</c:v>
                </c:pt>
              </c:strCache>
            </c:strRef>
          </c:tx>
          <c:marker>
            <c:symbol val="none"/>
          </c:marker>
          <c:cat>
            <c:numRef>
              <c:f>TIFInside!$B$21:$X$21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TIFInside!$B$33:$X$33</c:f>
              <c:numCache>
                <c:formatCode>General</c:formatCode>
                <c:ptCount val="23"/>
                <c:pt idx="0">
                  <c:v>2325013</c:v>
                </c:pt>
                <c:pt idx="1">
                  <c:v>2316382.5314960629</c:v>
                </c:pt>
                <c:pt idx="2">
                  <c:v>2249947.0860420647</c:v>
                </c:pt>
                <c:pt idx="3">
                  <c:v>2199480.9831775702</c:v>
                </c:pt>
                <c:pt idx="4">
                  <c:v>2165746.6122699385</c:v>
                </c:pt>
                <c:pt idx="5">
                  <c:v>2298631.8151260503</c:v>
                </c:pt>
                <c:pt idx="6">
                  <c:v>2650713.6341463416</c:v>
                </c:pt>
                <c:pt idx="7">
                  <c:v>2577373.7312252964</c:v>
                </c:pt>
                <c:pt idx="8">
                  <c:v>2718623.9666481377</c:v>
                </c:pt>
                <c:pt idx="9">
                  <c:v>2658045.9326086957</c:v>
                </c:pt>
                <c:pt idx="10">
                  <c:v>2592589.9311805186</c:v>
                </c:pt>
                <c:pt idx="11">
                  <c:v>2550295.1090629795</c:v>
                </c:pt>
                <c:pt idx="12">
                  <c:v>2380590.4107142854</c:v>
                </c:pt>
                <c:pt idx="13">
                  <c:v>2338283.586107091</c:v>
                </c:pt>
                <c:pt idx="14">
                  <c:v>2263769.1110078958</c:v>
                </c:pt>
                <c:pt idx="15">
                  <c:v>1777613.8920481028</c:v>
                </c:pt>
                <c:pt idx="16">
                  <c:v>1748919.0332935888</c:v>
                </c:pt>
                <c:pt idx="17">
                  <c:v>2093298.3168845025</c:v>
                </c:pt>
                <c:pt idx="18">
                  <c:v>2584587.6022474845</c:v>
                </c:pt>
                <c:pt idx="19">
                  <c:v>2599463.3705357141</c:v>
                </c:pt>
                <c:pt idx="20">
                  <c:v>2557958.0417335471</c:v>
                </c:pt>
                <c:pt idx="21">
                  <c:v>2379900.5442578685</c:v>
                </c:pt>
                <c:pt idx="22">
                  <c:v>1056152.1499585749</c:v>
                </c:pt>
              </c:numCache>
            </c:numRef>
          </c:val>
          <c:smooth val="0"/>
        </c:ser>
        <c:dLbls>
          <c:showLegendKey val="0"/>
          <c:showVal val="0"/>
          <c:showCatName val="0"/>
          <c:showSerName val="0"/>
          <c:showPercent val="0"/>
          <c:showBubbleSize val="0"/>
        </c:dLbls>
        <c:marker val="1"/>
        <c:smooth val="0"/>
        <c:axId val="141371264"/>
        <c:axId val="141372800"/>
      </c:lineChart>
      <c:catAx>
        <c:axId val="141371264"/>
        <c:scaling>
          <c:orientation val="minMax"/>
        </c:scaling>
        <c:delete val="0"/>
        <c:axPos val="b"/>
        <c:numFmt formatCode="General" sourceLinked="1"/>
        <c:majorTickMark val="out"/>
        <c:minorTickMark val="none"/>
        <c:tickLblPos val="nextTo"/>
        <c:crossAx val="141372800"/>
        <c:crosses val="autoZero"/>
        <c:auto val="1"/>
        <c:lblAlgn val="ctr"/>
        <c:lblOffset val="100"/>
        <c:noMultiLvlLbl val="0"/>
      </c:catAx>
      <c:valAx>
        <c:axId val="141372800"/>
        <c:scaling>
          <c:orientation val="minMax"/>
        </c:scaling>
        <c:delete val="0"/>
        <c:axPos val="l"/>
        <c:majorGridlines/>
        <c:numFmt formatCode="#,##0" sourceLinked="0"/>
        <c:majorTickMark val="out"/>
        <c:minorTickMark val="none"/>
        <c:tickLblPos val="nextTo"/>
        <c:crossAx val="141371264"/>
        <c:crosses val="autoZero"/>
        <c:crossBetween val="between"/>
      </c:valAx>
    </c:plotArea>
    <c:legend>
      <c:legendPos val="r"/>
      <c:layout>
        <c:manualLayout>
          <c:xMode val="edge"/>
          <c:yMode val="edge"/>
          <c:x val="0.56876498545789889"/>
          <c:y val="9.2016555622854837E-2"/>
          <c:w val="0.28033415354330715"/>
          <c:h val="0.4710555219059156"/>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03935916810745"/>
          <c:y val="3.6641969636451853E-2"/>
          <c:w val="0.80050997397251122"/>
          <c:h val="0.85440154932089807"/>
        </c:manualLayout>
      </c:layout>
      <c:lineChart>
        <c:grouping val="standard"/>
        <c:varyColors val="0"/>
        <c:ser>
          <c:idx val="1"/>
          <c:order val="0"/>
          <c:tx>
            <c:strRef>
              <c:f>TIFOutside!$A$17</c:f>
              <c:strCache>
                <c:ptCount val="1"/>
                <c:pt idx="0">
                  <c:v>TAV NON-TIF GI (constant)</c:v>
                </c:pt>
              </c:strCache>
            </c:strRef>
          </c:tx>
          <c:marker>
            <c:symbol val="none"/>
          </c:marker>
          <c:cat>
            <c:numRef>
              <c:f>TIFOutside!$B$14:$X$14</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TIFOutside!$B$17:$X$17</c:f>
              <c:numCache>
                <c:formatCode>General</c:formatCode>
                <c:ptCount val="23"/>
                <c:pt idx="0">
                  <c:v>852157989</c:v>
                </c:pt>
                <c:pt idx="1">
                  <c:v>1053595685.9488188</c:v>
                </c:pt>
                <c:pt idx="2">
                  <c:v>1053859510.4359463</c:v>
                </c:pt>
                <c:pt idx="3">
                  <c:v>1067485624.9345794</c:v>
                </c:pt>
                <c:pt idx="4">
                  <c:v>1127102719.6638036</c:v>
                </c:pt>
                <c:pt idx="5">
                  <c:v>1152968261.870348</c:v>
                </c:pt>
                <c:pt idx="6">
                  <c:v>1178634502.7491291</c:v>
                </c:pt>
                <c:pt idx="7">
                  <c:v>1178896381.7854319</c:v>
                </c:pt>
                <c:pt idx="8">
                  <c:v>1246416512.7215118</c:v>
                </c:pt>
                <c:pt idx="9">
                  <c:v>1245007134.6586957</c:v>
                </c:pt>
                <c:pt idx="10">
                  <c:v>1279307363.676019</c:v>
                </c:pt>
                <c:pt idx="11">
                  <c:v>1395269599.2258062</c:v>
                </c:pt>
                <c:pt idx="12">
                  <c:v>1424428097.625</c:v>
                </c:pt>
                <c:pt idx="13">
                  <c:v>1414091305.5745294</c:v>
                </c:pt>
                <c:pt idx="14">
                  <c:v>1409132125.0255456</c:v>
                </c:pt>
                <c:pt idx="15">
                  <c:v>1460592536.2496505</c:v>
                </c:pt>
                <c:pt idx="16">
                  <c:v>1457710962.6460607</c:v>
                </c:pt>
                <c:pt idx="17">
                  <c:v>1451096805.5001333</c:v>
                </c:pt>
                <c:pt idx="18">
                  <c:v>1441431472.896903</c:v>
                </c:pt>
                <c:pt idx="19">
                  <c:v>1437664574.8995533</c:v>
                </c:pt>
                <c:pt idx="20">
                  <c:v>1413692005.1845903</c:v>
                </c:pt>
                <c:pt idx="21">
                  <c:v>1490590045.13236</c:v>
                </c:pt>
                <c:pt idx="22">
                  <c:v>1590537981.1391878</c:v>
                </c:pt>
              </c:numCache>
            </c:numRef>
          </c:val>
          <c:smooth val="0"/>
        </c:ser>
        <c:ser>
          <c:idx val="2"/>
          <c:order val="1"/>
          <c:tx>
            <c:strRef>
              <c:f>TIFOutside!$A$18</c:f>
              <c:strCache>
                <c:ptCount val="1"/>
                <c:pt idx="0">
                  <c:v>TAV NON-TIF GI Res (constant)</c:v>
                </c:pt>
              </c:strCache>
            </c:strRef>
          </c:tx>
          <c:marker>
            <c:symbol val="none"/>
          </c:marker>
          <c:cat>
            <c:numRef>
              <c:f>TIFOutside!$B$14:$X$14</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TIFOutside!$B$18:$X$18</c:f>
              <c:numCache>
                <c:formatCode>General</c:formatCode>
                <c:ptCount val="23"/>
                <c:pt idx="0">
                  <c:v>633932310</c:v>
                </c:pt>
                <c:pt idx="1">
                  <c:v>772605426.64960623</c:v>
                </c:pt>
                <c:pt idx="2">
                  <c:v>768486070.26768637</c:v>
                </c:pt>
                <c:pt idx="3">
                  <c:v>764125936.86728966</c:v>
                </c:pt>
                <c:pt idx="4">
                  <c:v>818183375.55460119</c:v>
                </c:pt>
                <c:pt idx="5">
                  <c:v>814468622.632653</c:v>
                </c:pt>
                <c:pt idx="6">
                  <c:v>808645132.64808369</c:v>
                </c:pt>
                <c:pt idx="7">
                  <c:v>802077448.42800677</c:v>
                </c:pt>
                <c:pt idx="8">
                  <c:v>846019703.2929405</c:v>
                </c:pt>
                <c:pt idx="9">
                  <c:v>839472160.12173903</c:v>
                </c:pt>
                <c:pt idx="10">
                  <c:v>869148848.32503963</c:v>
                </c:pt>
                <c:pt idx="11">
                  <c:v>961083485.74193537</c:v>
                </c:pt>
                <c:pt idx="12">
                  <c:v>946332975.28869045</c:v>
                </c:pt>
                <c:pt idx="13">
                  <c:v>935408383.244573</c:v>
                </c:pt>
                <c:pt idx="14">
                  <c:v>927485950.14119828</c:v>
                </c:pt>
                <c:pt idx="15">
                  <c:v>954704627.26671016</c:v>
                </c:pt>
                <c:pt idx="16">
                  <c:v>957630558.91130877</c:v>
                </c:pt>
                <c:pt idx="17">
                  <c:v>946537983.08882368</c:v>
                </c:pt>
                <c:pt idx="18">
                  <c:v>938153309.87586558</c:v>
                </c:pt>
                <c:pt idx="19">
                  <c:v>938831596.00446415</c:v>
                </c:pt>
                <c:pt idx="20">
                  <c:v>952555148.03595483</c:v>
                </c:pt>
                <c:pt idx="21">
                  <c:v>1011517166.4125051</c:v>
                </c:pt>
                <c:pt idx="22">
                  <c:v>1018810952.306545</c:v>
                </c:pt>
              </c:numCache>
            </c:numRef>
          </c:val>
          <c:smooth val="0"/>
        </c:ser>
        <c:ser>
          <c:idx val="7"/>
          <c:order val="2"/>
          <c:tx>
            <c:strRef>
              <c:f>TIFOutside!$A$23</c:f>
              <c:strCache>
                <c:ptCount val="1"/>
                <c:pt idx="0">
                  <c:v>TAV NON-TIF Rural (constant)</c:v>
                </c:pt>
              </c:strCache>
            </c:strRef>
          </c:tx>
          <c:marker>
            <c:symbol val="none"/>
          </c:marker>
          <c:cat>
            <c:numRef>
              <c:f>TIFOutside!$B$14:$X$14</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TIFOutside!$B$23:$X$23</c:f>
              <c:numCache>
                <c:formatCode>General</c:formatCode>
                <c:ptCount val="23"/>
                <c:pt idx="0">
                  <c:v>419751229</c:v>
                </c:pt>
                <c:pt idx="1">
                  <c:v>461297474.22834641</c:v>
                </c:pt>
                <c:pt idx="2">
                  <c:v>455444736.66156787</c:v>
                </c:pt>
                <c:pt idx="3">
                  <c:v>480420207.77570093</c:v>
                </c:pt>
                <c:pt idx="4">
                  <c:v>504197378.93742329</c:v>
                </c:pt>
                <c:pt idx="5">
                  <c:v>535942317.43577427</c:v>
                </c:pt>
                <c:pt idx="6">
                  <c:v>526645045.89198607</c:v>
                </c:pt>
                <c:pt idx="7">
                  <c:v>549869548.68548846</c:v>
                </c:pt>
                <c:pt idx="8">
                  <c:v>579179947.14396882</c:v>
                </c:pt>
                <c:pt idx="9">
                  <c:v>574909164.7141304</c:v>
                </c:pt>
                <c:pt idx="10">
                  <c:v>592055854.77077818</c:v>
                </c:pt>
                <c:pt idx="11">
                  <c:v>627045952.03993845</c:v>
                </c:pt>
                <c:pt idx="12">
                  <c:v>614465500.61309516</c:v>
                </c:pt>
                <c:pt idx="13">
                  <c:v>610722529.46743846</c:v>
                </c:pt>
                <c:pt idx="14">
                  <c:v>608885526.12540638</c:v>
                </c:pt>
                <c:pt idx="15">
                  <c:v>675932218.03393304</c:v>
                </c:pt>
                <c:pt idx="16">
                  <c:v>734556943.49353385</c:v>
                </c:pt>
                <c:pt idx="17">
                  <c:v>737187182.4246465</c:v>
                </c:pt>
                <c:pt idx="18">
                  <c:v>786077059.12452626</c:v>
                </c:pt>
                <c:pt idx="19">
                  <c:v>881318076.89732134</c:v>
                </c:pt>
                <c:pt idx="20">
                  <c:v>1057389563.3441409</c:v>
                </c:pt>
                <c:pt idx="21">
                  <c:v>1215197845.6973758</c:v>
                </c:pt>
                <c:pt idx="22">
                  <c:v>1352137662.0621374</c:v>
                </c:pt>
              </c:numCache>
            </c:numRef>
          </c:val>
          <c:smooth val="0"/>
        </c:ser>
        <c:ser>
          <c:idx val="3"/>
          <c:order val="3"/>
          <c:tx>
            <c:strRef>
              <c:f>TIFOutside!$A$19</c:f>
              <c:strCache>
                <c:ptCount val="1"/>
                <c:pt idx="0">
                  <c:v>TAV NON-TIF GI Comm (constant)</c:v>
                </c:pt>
              </c:strCache>
            </c:strRef>
          </c:tx>
          <c:marker>
            <c:symbol val="none"/>
          </c:marker>
          <c:cat>
            <c:numRef>
              <c:f>TIFOutside!$B$14:$X$14</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TIFOutside!$B$19:$X$19</c:f>
              <c:numCache>
                <c:formatCode>General</c:formatCode>
                <c:ptCount val="23"/>
                <c:pt idx="0">
                  <c:v>216566058</c:v>
                </c:pt>
                <c:pt idx="1">
                  <c:v>279527726.59448814</c:v>
                </c:pt>
                <c:pt idx="2">
                  <c:v>283988877.18164432</c:v>
                </c:pt>
                <c:pt idx="3">
                  <c:v>301711152.81869155</c:v>
                </c:pt>
                <c:pt idx="4">
                  <c:v>307028091.17300612</c:v>
                </c:pt>
                <c:pt idx="5">
                  <c:v>335311899.93637455</c:v>
                </c:pt>
                <c:pt idx="6">
                  <c:v>364059619.58536589</c:v>
                </c:pt>
                <c:pt idx="7">
                  <c:v>370887919.14850366</c:v>
                </c:pt>
                <c:pt idx="8">
                  <c:v>394079730.47026122</c:v>
                </c:pt>
                <c:pt idx="9">
                  <c:v>399473022.67826086</c:v>
                </c:pt>
                <c:pt idx="10">
                  <c:v>404107801.20063519</c:v>
                </c:pt>
                <c:pt idx="11">
                  <c:v>427573322.4884792</c:v>
                </c:pt>
                <c:pt idx="12">
                  <c:v>470748913.76190472</c:v>
                </c:pt>
                <c:pt idx="13">
                  <c:v>471564409.496382</c:v>
                </c:pt>
                <c:pt idx="14">
                  <c:v>473370525.8123548</c:v>
                </c:pt>
                <c:pt idx="15">
                  <c:v>496675773.08194274</c:v>
                </c:pt>
                <c:pt idx="16">
                  <c:v>488859758.73337609</c:v>
                </c:pt>
                <c:pt idx="17">
                  <c:v>493079661.79247797</c:v>
                </c:pt>
                <c:pt idx="18">
                  <c:v>491338405.07252049</c:v>
                </c:pt>
                <c:pt idx="19">
                  <c:v>494176269.10714281</c:v>
                </c:pt>
                <c:pt idx="20">
                  <c:v>448000051.45040119</c:v>
                </c:pt>
                <c:pt idx="21">
                  <c:v>466525802.89924896</c:v>
                </c:pt>
                <c:pt idx="22">
                  <c:v>558729415.50124264</c:v>
                </c:pt>
              </c:numCache>
            </c:numRef>
          </c:val>
          <c:smooth val="0"/>
        </c:ser>
        <c:ser>
          <c:idx val="0"/>
          <c:order val="4"/>
          <c:tx>
            <c:strRef>
              <c:f>TIFOutside!$A$16</c:f>
              <c:strCache>
                <c:ptCount val="1"/>
                <c:pt idx="0">
                  <c:v>TAV NON-TIF Adjacent (constant)</c:v>
                </c:pt>
              </c:strCache>
            </c:strRef>
          </c:tx>
          <c:marker>
            <c:symbol val="none"/>
          </c:marker>
          <c:cat>
            <c:numRef>
              <c:f>TIFOutside!$B$14:$X$14</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TIFOutside!$B$16:$X$16</c:f>
              <c:numCache>
                <c:formatCode>General</c:formatCode>
                <c:ptCount val="23"/>
                <c:pt idx="0">
                  <c:v>134396643</c:v>
                </c:pt>
                <c:pt idx="1">
                  <c:v>173005252.14566928</c:v>
                </c:pt>
                <c:pt idx="2">
                  <c:v>176400883.54493308</c:v>
                </c:pt>
                <c:pt idx="3">
                  <c:v>179924338.35514018</c:v>
                </c:pt>
                <c:pt idx="4">
                  <c:v>186647741.48098159</c:v>
                </c:pt>
                <c:pt idx="5">
                  <c:v>197452023.87154859</c:v>
                </c:pt>
                <c:pt idx="6">
                  <c:v>207653873.36933798</c:v>
                </c:pt>
                <c:pt idx="7">
                  <c:v>203791229.1970638</c:v>
                </c:pt>
                <c:pt idx="8">
                  <c:v>212371588.54919398</c:v>
                </c:pt>
                <c:pt idx="9">
                  <c:v>210695567.08369565</c:v>
                </c:pt>
                <c:pt idx="10">
                  <c:v>215045650.01164636</c:v>
                </c:pt>
                <c:pt idx="11">
                  <c:v>234565408.38095236</c:v>
                </c:pt>
                <c:pt idx="12">
                  <c:v>249208656.35714284</c:v>
                </c:pt>
                <c:pt idx="13">
                  <c:v>248168972.71780026</c:v>
                </c:pt>
                <c:pt idx="14">
                  <c:v>245231432.04551786</c:v>
                </c:pt>
                <c:pt idx="15">
                  <c:v>251174565.02936515</c:v>
                </c:pt>
                <c:pt idx="16">
                  <c:v>248300825.51132715</c:v>
                </c:pt>
                <c:pt idx="17">
                  <c:v>242889354.05441451</c:v>
                </c:pt>
                <c:pt idx="18">
                  <c:v>238101741.24656993</c:v>
                </c:pt>
                <c:pt idx="19">
                  <c:v>236099712.72321424</c:v>
                </c:pt>
                <c:pt idx="20">
                  <c:v>227519095.78555372</c:v>
                </c:pt>
                <c:pt idx="21">
                  <c:v>240759916.72760099</c:v>
                </c:pt>
                <c:pt idx="22">
                  <c:v>255278689.38193864</c:v>
                </c:pt>
              </c:numCache>
            </c:numRef>
          </c:val>
          <c:smooth val="0"/>
        </c:ser>
        <c:ser>
          <c:idx val="4"/>
          <c:order val="5"/>
          <c:tx>
            <c:strRef>
              <c:f>TIFOutside!$A$20</c:f>
              <c:strCache>
                <c:ptCount val="1"/>
                <c:pt idx="0">
                  <c:v>TAV NON-TIF Cairo (constant)</c:v>
                </c:pt>
              </c:strCache>
            </c:strRef>
          </c:tx>
          <c:marker>
            <c:symbol val="none"/>
          </c:marker>
          <c:cat>
            <c:numRef>
              <c:f>TIFOutside!$B$14:$X$14</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TIFOutside!$B$20:$X$20</c:f>
              <c:numCache>
                <c:formatCode>General</c:formatCode>
                <c:ptCount val="23"/>
                <c:pt idx="0">
                  <c:v>12200694</c:v>
                </c:pt>
                <c:pt idx="1">
                  <c:v>14392768.767716534</c:v>
                </c:pt>
                <c:pt idx="2">
                  <c:v>14110776.573613767</c:v>
                </c:pt>
                <c:pt idx="3">
                  <c:v>14075507.835514018</c:v>
                </c:pt>
                <c:pt idx="4">
                  <c:v>15481044.736196319</c:v>
                </c:pt>
                <c:pt idx="5">
                  <c:v>15636020.690276109</c:v>
                </c:pt>
                <c:pt idx="6">
                  <c:v>15510130.909407666</c:v>
                </c:pt>
                <c:pt idx="7">
                  <c:v>17176983.343873516</c:v>
                </c:pt>
                <c:pt idx="8">
                  <c:v>18649960.856031127</c:v>
                </c:pt>
                <c:pt idx="9">
                  <c:v>18846617.357608695</c:v>
                </c:pt>
                <c:pt idx="10">
                  <c:v>20231593.216516674</c:v>
                </c:pt>
                <c:pt idx="11">
                  <c:v>22552977.351766512</c:v>
                </c:pt>
                <c:pt idx="12">
                  <c:v>21873581.94047619</c:v>
                </c:pt>
                <c:pt idx="13">
                  <c:v>21899858.584659912</c:v>
                </c:pt>
                <c:pt idx="14">
                  <c:v>22155193.072921503</c:v>
                </c:pt>
                <c:pt idx="15">
                  <c:v>21955755.395730399</c:v>
                </c:pt>
                <c:pt idx="16">
                  <c:v>22017102.673576079</c:v>
                </c:pt>
                <c:pt idx="17">
                  <c:v>22006901.483062148</c:v>
                </c:pt>
                <c:pt idx="18">
                  <c:v>21682837.389259111</c:v>
                </c:pt>
                <c:pt idx="19">
                  <c:v>21796511.819196425</c:v>
                </c:pt>
                <c:pt idx="20">
                  <c:v>22723710.577849112</c:v>
                </c:pt>
                <c:pt idx="21">
                  <c:v>24635471.328157961</c:v>
                </c:pt>
                <c:pt idx="22">
                  <c:v>23993214.718309853</c:v>
                </c:pt>
              </c:numCache>
            </c:numRef>
          </c:val>
          <c:smooth val="0"/>
        </c:ser>
        <c:ser>
          <c:idx val="5"/>
          <c:order val="6"/>
          <c:tx>
            <c:strRef>
              <c:f>TIFOutside!$A$21</c:f>
              <c:strCache>
                <c:ptCount val="1"/>
                <c:pt idx="0">
                  <c:v>TAV NON-TIF WoodRiver (constant)</c:v>
                </c:pt>
              </c:strCache>
            </c:strRef>
          </c:tx>
          <c:marker>
            <c:symbol val="none"/>
          </c:marker>
          <c:cat>
            <c:numRef>
              <c:f>TIFOutside!$B$14:$X$14</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TIFOutside!$B$21:$X$21</c:f>
              <c:numCache>
                <c:formatCode>General</c:formatCode>
                <c:ptCount val="23"/>
                <c:pt idx="0">
                  <c:v>16451785</c:v>
                </c:pt>
                <c:pt idx="1">
                  <c:v>19302759.240157478</c:v>
                </c:pt>
                <c:pt idx="2">
                  <c:v>19037821.116634797</c:v>
                </c:pt>
                <c:pt idx="3">
                  <c:v>19343808.231775701</c:v>
                </c:pt>
                <c:pt idx="4">
                  <c:v>20784054.423312884</c:v>
                </c:pt>
                <c:pt idx="5">
                  <c:v>20919866.632653058</c:v>
                </c:pt>
                <c:pt idx="6">
                  <c:v>21067796.149825785</c:v>
                </c:pt>
                <c:pt idx="7">
                  <c:v>22367060.313946921</c:v>
                </c:pt>
                <c:pt idx="8">
                  <c:v>23855060.367982212</c:v>
                </c:pt>
                <c:pt idx="9">
                  <c:v>24299389.894565217</c:v>
                </c:pt>
                <c:pt idx="10">
                  <c:v>26152149.481206983</c:v>
                </c:pt>
                <c:pt idx="11">
                  <c:v>28988008.783410136</c:v>
                </c:pt>
                <c:pt idx="12">
                  <c:v>28446699.627976187</c:v>
                </c:pt>
                <c:pt idx="13">
                  <c:v>27683225.250361793</c:v>
                </c:pt>
                <c:pt idx="14">
                  <c:v>28361806.319554109</c:v>
                </c:pt>
                <c:pt idx="15">
                  <c:v>28609452.540318821</c:v>
                </c:pt>
                <c:pt idx="16">
                  <c:v>28012349.9697331</c:v>
                </c:pt>
                <c:pt idx="17">
                  <c:v>27374926.985862896</c:v>
                </c:pt>
                <c:pt idx="18">
                  <c:v>27040915.147001173</c:v>
                </c:pt>
                <c:pt idx="19">
                  <c:v>26018912.142857138</c:v>
                </c:pt>
                <c:pt idx="20">
                  <c:v>25841906.236276079</c:v>
                </c:pt>
                <c:pt idx="21">
                  <c:v>28149645.776795205</c:v>
                </c:pt>
                <c:pt idx="22">
                  <c:v>29063435.696768843</c:v>
                </c:pt>
              </c:numCache>
            </c:numRef>
          </c:val>
          <c:smooth val="0"/>
        </c:ser>
        <c:ser>
          <c:idx val="6"/>
          <c:order val="7"/>
          <c:tx>
            <c:strRef>
              <c:f>TIFOutside!$A$22</c:f>
              <c:strCache>
                <c:ptCount val="1"/>
                <c:pt idx="0">
                  <c:v>TAV NON-TIF Doniphan (constant)</c:v>
                </c:pt>
              </c:strCache>
            </c:strRef>
          </c:tx>
          <c:marker>
            <c:symbol val="none"/>
          </c:marker>
          <c:cat>
            <c:numRef>
              <c:f>TIFOutside!$B$14:$X$14</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TIFOutside!$B$22:$X$22</c:f>
              <c:numCache>
                <c:formatCode>General</c:formatCode>
                <c:ptCount val="23"/>
                <c:pt idx="0">
                  <c:v>11962627</c:v>
                </c:pt>
                <c:pt idx="1">
                  <c:v>14542036.507874016</c:v>
                </c:pt>
                <c:pt idx="2">
                  <c:v>14367346.760994263</c:v>
                </c:pt>
                <c:pt idx="3">
                  <c:v>14263047.779439252</c:v>
                </c:pt>
                <c:pt idx="4">
                  <c:v>15303993.92392638</c:v>
                </c:pt>
                <c:pt idx="5">
                  <c:v>15873698.44177671</c:v>
                </c:pt>
                <c:pt idx="6">
                  <c:v>16103796.700348433</c:v>
                </c:pt>
                <c:pt idx="7">
                  <c:v>15850446.064370412</c:v>
                </c:pt>
                <c:pt idx="8">
                  <c:v>16498180.882712618</c:v>
                </c:pt>
                <c:pt idx="9">
                  <c:v>17168068.718478259</c:v>
                </c:pt>
                <c:pt idx="10">
                  <c:v>18284246.001058761</c:v>
                </c:pt>
                <c:pt idx="11">
                  <c:v>20083139.74193548</c:v>
                </c:pt>
                <c:pt idx="12">
                  <c:v>19905504.318452381</c:v>
                </c:pt>
                <c:pt idx="13">
                  <c:v>20338255.238784369</c:v>
                </c:pt>
                <c:pt idx="14">
                  <c:v>20713556.062238734</c:v>
                </c:pt>
                <c:pt idx="15">
                  <c:v>21639204.644355364</c:v>
                </c:pt>
                <c:pt idx="16">
                  <c:v>22461721.703200951</c:v>
                </c:pt>
                <c:pt idx="17">
                  <c:v>22741891.52307282</c:v>
                </c:pt>
                <c:pt idx="18">
                  <c:v>23568111.284463607</c:v>
                </c:pt>
                <c:pt idx="19">
                  <c:v>23354151.964285709</c:v>
                </c:pt>
                <c:pt idx="20">
                  <c:v>22996189.743178166</c:v>
                </c:pt>
                <c:pt idx="21">
                  <c:v>24533850.346806176</c:v>
                </c:pt>
                <c:pt idx="22">
                  <c:v>25544178.059652027</c:v>
                </c:pt>
              </c:numCache>
            </c:numRef>
          </c:val>
          <c:smooth val="0"/>
        </c:ser>
        <c:dLbls>
          <c:showLegendKey val="0"/>
          <c:showVal val="0"/>
          <c:showCatName val="0"/>
          <c:showSerName val="0"/>
          <c:showPercent val="0"/>
          <c:showBubbleSize val="0"/>
        </c:dLbls>
        <c:marker val="1"/>
        <c:smooth val="0"/>
        <c:axId val="141546240"/>
        <c:axId val="141547776"/>
      </c:lineChart>
      <c:catAx>
        <c:axId val="141546240"/>
        <c:scaling>
          <c:orientation val="minMax"/>
        </c:scaling>
        <c:delete val="0"/>
        <c:axPos val="b"/>
        <c:numFmt formatCode="General" sourceLinked="1"/>
        <c:majorTickMark val="out"/>
        <c:minorTickMark val="none"/>
        <c:tickLblPos val="nextTo"/>
        <c:crossAx val="141547776"/>
        <c:crosses val="autoZero"/>
        <c:auto val="1"/>
        <c:lblAlgn val="ctr"/>
        <c:lblOffset val="100"/>
        <c:noMultiLvlLbl val="0"/>
      </c:catAx>
      <c:valAx>
        <c:axId val="141547776"/>
        <c:scaling>
          <c:orientation val="minMax"/>
        </c:scaling>
        <c:delete val="0"/>
        <c:axPos val="l"/>
        <c:majorGridlines/>
        <c:numFmt formatCode="#,##0" sourceLinked="0"/>
        <c:majorTickMark val="out"/>
        <c:minorTickMark val="none"/>
        <c:tickLblPos val="nextTo"/>
        <c:crossAx val="141546240"/>
        <c:crosses val="autoZero"/>
        <c:crossBetween val="between"/>
      </c:valAx>
    </c:plotArea>
    <c:legend>
      <c:legendPos val="r"/>
      <c:layout>
        <c:manualLayout>
          <c:xMode val="edge"/>
          <c:yMode val="edge"/>
          <c:x val="0.17995009483598834"/>
          <c:y val="4.208168715752636E-2"/>
          <c:w val="0.58924960265945181"/>
          <c:h val="0.16652977601100832"/>
        </c:manualLayout>
      </c:layout>
      <c:overlay val="0"/>
      <c:spPr>
        <a:solidFill>
          <a:schemeClr val="bg1"/>
        </a:solidFill>
        <a:ln>
          <a:solidFill>
            <a:schemeClr val="tx1"/>
          </a:solidFill>
        </a:ln>
      </c:spPr>
      <c:txPr>
        <a:bodyPr/>
        <a:lstStyle/>
        <a:p>
          <a:pPr>
            <a:defRPr sz="700" baseline="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57174103237097"/>
          <c:y val="5.1400554097404488E-2"/>
          <c:w val="0.80517716535433059"/>
          <c:h val="0.79523549139690874"/>
        </c:manualLayout>
      </c:layout>
      <c:lineChart>
        <c:grouping val="standard"/>
        <c:varyColors val="0"/>
        <c:ser>
          <c:idx val="0"/>
          <c:order val="0"/>
          <c:tx>
            <c:strRef>
              <c:f>SummarySheet!$A$3</c:f>
              <c:strCache>
                <c:ptCount val="1"/>
                <c:pt idx="0">
                  <c:v>Current $</c:v>
                </c:pt>
              </c:strCache>
            </c:strRef>
          </c:tx>
          <c:marker>
            <c:symbol val="none"/>
          </c:marker>
          <c:cat>
            <c:numRef>
              <c:f>SummarySheet!$B$1:$X$1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SummarySheet!$B$3:$X$3</c:f>
              <c:numCache>
                <c:formatCode>General</c:formatCode>
                <c:ptCount val="23"/>
                <c:pt idx="0">
                  <c:v>134396643</c:v>
                </c:pt>
                <c:pt idx="1">
                  <c:v>177908235</c:v>
                </c:pt>
                <c:pt idx="2">
                  <c:v>186756401</c:v>
                </c:pt>
                <c:pt idx="3">
                  <c:v>194857330</c:v>
                </c:pt>
                <c:pt idx="4">
                  <c:v>205287327</c:v>
                </c:pt>
                <c:pt idx="5">
                  <c:v>221966985</c:v>
                </c:pt>
                <c:pt idx="6">
                  <c:v>241282031</c:v>
                </c:pt>
                <c:pt idx="7">
                  <c:v>243531894</c:v>
                </c:pt>
                <c:pt idx="8">
                  <c:v>257797900</c:v>
                </c:pt>
                <c:pt idx="9">
                  <c:v>261592337</c:v>
                </c:pt>
                <c:pt idx="10">
                  <c:v>274103396</c:v>
                </c:pt>
                <c:pt idx="11">
                  <c:v>309113524</c:v>
                </c:pt>
                <c:pt idx="12">
                  <c:v>339004488</c:v>
                </c:pt>
                <c:pt idx="13">
                  <c:v>347135142</c:v>
                </c:pt>
                <c:pt idx="14">
                  <c:v>356264017</c:v>
                </c:pt>
                <c:pt idx="15">
                  <c:v>363609927</c:v>
                </c:pt>
                <c:pt idx="16">
                  <c:v>365347355</c:v>
                </c:pt>
                <c:pt idx="17">
                  <c:v>368660805</c:v>
                </c:pt>
                <c:pt idx="18">
                  <c:v>368864904</c:v>
                </c:pt>
                <c:pt idx="19">
                  <c:v>371132180</c:v>
                </c:pt>
                <c:pt idx="20">
                  <c:v>363447170.95999998</c:v>
                </c:pt>
                <c:pt idx="21">
                  <c:v>385053410.67999995</c:v>
                </c:pt>
                <c:pt idx="22">
                  <c:v>415818324</c:v>
                </c:pt>
              </c:numCache>
            </c:numRef>
          </c:val>
          <c:smooth val="0"/>
        </c:ser>
        <c:ser>
          <c:idx val="1"/>
          <c:order val="1"/>
          <c:tx>
            <c:strRef>
              <c:f>SummarySheet!$A$7</c:f>
              <c:strCache>
                <c:ptCount val="1"/>
                <c:pt idx="0">
                  <c:v>Constant $</c:v>
                </c:pt>
              </c:strCache>
            </c:strRef>
          </c:tx>
          <c:marker>
            <c:symbol val="none"/>
          </c:marker>
          <c:cat>
            <c:numRef>
              <c:f>SummarySheet!$B$1:$X$1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SummarySheet!$B$7:$X$7</c:f>
              <c:numCache>
                <c:formatCode>General</c:formatCode>
                <c:ptCount val="23"/>
                <c:pt idx="0">
                  <c:v>134396643</c:v>
                </c:pt>
                <c:pt idx="1">
                  <c:v>173005252.14566928</c:v>
                </c:pt>
                <c:pt idx="2">
                  <c:v>176400883.54493308</c:v>
                </c:pt>
                <c:pt idx="3">
                  <c:v>179924338.35514018</c:v>
                </c:pt>
                <c:pt idx="4">
                  <c:v>186647741.48098159</c:v>
                </c:pt>
                <c:pt idx="5">
                  <c:v>197452023.87154859</c:v>
                </c:pt>
                <c:pt idx="6">
                  <c:v>207653873.36933798</c:v>
                </c:pt>
                <c:pt idx="7">
                  <c:v>203791229.1970638</c:v>
                </c:pt>
                <c:pt idx="8">
                  <c:v>212371588.54919398</c:v>
                </c:pt>
                <c:pt idx="9">
                  <c:v>210695567.08369565</c:v>
                </c:pt>
                <c:pt idx="10">
                  <c:v>215045650.01164636</c:v>
                </c:pt>
                <c:pt idx="11">
                  <c:v>234565408.38095236</c:v>
                </c:pt>
                <c:pt idx="12">
                  <c:v>249208656.35714284</c:v>
                </c:pt>
                <c:pt idx="13">
                  <c:v>248168972.71780026</c:v>
                </c:pt>
                <c:pt idx="14">
                  <c:v>245231432.04551786</c:v>
                </c:pt>
                <c:pt idx="15">
                  <c:v>251174565.02936515</c:v>
                </c:pt>
                <c:pt idx="16">
                  <c:v>248300825.51132715</c:v>
                </c:pt>
                <c:pt idx="17">
                  <c:v>242889354.05441451</c:v>
                </c:pt>
                <c:pt idx="18">
                  <c:v>238101741.24656993</c:v>
                </c:pt>
                <c:pt idx="19">
                  <c:v>236099712.72321424</c:v>
                </c:pt>
                <c:pt idx="20">
                  <c:v>227519095.78555372</c:v>
                </c:pt>
                <c:pt idx="21">
                  <c:v>240759916.72760099</c:v>
                </c:pt>
                <c:pt idx="22">
                  <c:v>255278689.38193864</c:v>
                </c:pt>
              </c:numCache>
            </c:numRef>
          </c:val>
          <c:smooth val="0"/>
        </c:ser>
        <c:dLbls>
          <c:showLegendKey val="0"/>
          <c:showVal val="0"/>
          <c:showCatName val="0"/>
          <c:showSerName val="0"/>
          <c:showPercent val="0"/>
          <c:showBubbleSize val="0"/>
        </c:dLbls>
        <c:marker val="1"/>
        <c:smooth val="0"/>
        <c:axId val="141523584"/>
        <c:axId val="141593984"/>
      </c:lineChart>
      <c:catAx>
        <c:axId val="141523584"/>
        <c:scaling>
          <c:orientation val="minMax"/>
        </c:scaling>
        <c:delete val="0"/>
        <c:axPos val="b"/>
        <c:numFmt formatCode="General" sourceLinked="1"/>
        <c:majorTickMark val="out"/>
        <c:minorTickMark val="none"/>
        <c:tickLblPos val="nextTo"/>
        <c:crossAx val="141593984"/>
        <c:crosses val="autoZero"/>
        <c:auto val="1"/>
        <c:lblAlgn val="ctr"/>
        <c:lblOffset val="100"/>
        <c:noMultiLvlLbl val="0"/>
      </c:catAx>
      <c:valAx>
        <c:axId val="141593984"/>
        <c:scaling>
          <c:orientation val="minMax"/>
        </c:scaling>
        <c:delete val="0"/>
        <c:axPos val="l"/>
        <c:majorGridlines/>
        <c:numFmt formatCode="#,##0" sourceLinked="0"/>
        <c:majorTickMark val="out"/>
        <c:minorTickMark val="none"/>
        <c:tickLblPos val="nextTo"/>
        <c:crossAx val="141523584"/>
        <c:crosses val="autoZero"/>
        <c:crossBetween val="between"/>
      </c:valAx>
    </c:plotArea>
    <c:legend>
      <c:legendPos val="r"/>
      <c:layout>
        <c:manualLayout>
          <c:xMode val="edge"/>
          <c:yMode val="edge"/>
          <c:x val="0.18130446194225722"/>
          <c:y val="8.7195246427529904E-2"/>
          <c:w val="0.29091776027996502"/>
          <c:h val="0.27931321084864391"/>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44706911636046"/>
          <c:y val="5.1400554097404488E-2"/>
          <c:w val="0.77276093613298336"/>
          <c:h val="0.79523549139690874"/>
        </c:manualLayout>
      </c:layout>
      <c:lineChart>
        <c:grouping val="standard"/>
        <c:varyColors val="0"/>
        <c:ser>
          <c:idx val="0"/>
          <c:order val="0"/>
          <c:tx>
            <c:strRef>
              <c:f>SummarySheet!$A$3</c:f>
              <c:strCache>
                <c:ptCount val="1"/>
                <c:pt idx="0">
                  <c:v>Current $</c:v>
                </c:pt>
              </c:strCache>
            </c:strRef>
          </c:tx>
          <c:marker>
            <c:symbol val="none"/>
          </c:marker>
          <c:cat>
            <c:numRef>
              <c:f>SummarySheet!$B$1:$X$1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SummarySheet!$B$3:$X$3</c:f>
              <c:numCache>
                <c:formatCode>General</c:formatCode>
                <c:ptCount val="23"/>
                <c:pt idx="0">
                  <c:v>633932310</c:v>
                </c:pt>
                <c:pt idx="1">
                  <c:v>794501127</c:v>
                </c:pt>
                <c:pt idx="2">
                  <c:v>813599625</c:v>
                </c:pt>
                <c:pt idx="3">
                  <c:v>827545296</c:v>
                </c:pt>
                <c:pt idx="4">
                  <c:v>899891297</c:v>
                </c:pt>
                <c:pt idx="5">
                  <c:v>915590233</c:v>
                </c:pt>
                <c:pt idx="6">
                  <c:v>939599810</c:v>
                </c:pt>
                <c:pt idx="7">
                  <c:v>958487963</c:v>
                </c:pt>
                <c:pt idx="8">
                  <c:v>1026983432</c:v>
                </c:pt>
                <c:pt idx="9">
                  <c:v>1042259632</c:v>
                </c:pt>
                <c:pt idx="10">
                  <c:v>1107842223</c:v>
                </c:pt>
                <c:pt idx="11">
                  <c:v>1266529047</c:v>
                </c:pt>
                <c:pt idx="12">
                  <c:v>1287319351</c:v>
                </c:pt>
                <c:pt idx="13">
                  <c:v>1308435613</c:v>
                </c:pt>
                <c:pt idx="14">
                  <c:v>1347420547</c:v>
                </c:pt>
                <c:pt idx="15">
                  <c:v>1382067009</c:v>
                </c:pt>
                <c:pt idx="16">
                  <c:v>1409048041</c:v>
                </c:pt>
                <c:pt idx="17">
                  <c:v>1436668380</c:v>
                </c:pt>
                <c:pt idx="18">
                  <c:v>1453377992</c:v>
                </c:pt>
                <c:pt idx="19">
                  <c:v>1475777386</c:v>
                </c:pt>
                <c:pt idx="20">
                  <c:v>1521645787.76</c:v>
                </c:pt>
                <c:pt idx="21">
                  <c:v>1617744931.0599999</c:v>
                </c:pt>
                <c:pt idx="22">
                  <c:v>1659520674</c:v>
                </c:pt>
              </c:numCache>
            </c:numRef>
          </c:val>
          <c:smooth val="0"/>
        </c:ser>
        <c:ser>
          <c:idx val="1"/>
          <c:order val="1"/>
          <c:tx>
            <c:strRef>
              <c:f>SummarySheet!$A$7</c:f>
              <c:strCache>
                <c:ptCount val="1"/>
                <c:pt idx="0">
                  <c:v>Constant $</c:v>
                </c:pt>
              </c:strCache>
            </c:strRef>
          </c:tx>
          <c:marker>
            <c:symbol val="none"/>
          </c:marker>
          <c:cat>
            <c:numRef>
              <c:f>SummarySheet!$B$1:$X$1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SummarySheet!$B$7:$X$7</c:f>
              <c:numCache>
                <c:formatCode>General</c:formatCode>
                <c:ptCount val="23"/>
                <c:pt idx="0">
                  <c:v>633932310</c:v>
                </c:pt>
                <c:pt idx="1">
                  <c:v>772605426.64960623</c:v>
                </c:pt>
                <c:pt idx="2">
                  <c:v>768486070.26768637</c:v>
                </c:pt>
                <c:pt idx="3">
                  <c:v>764125936.86728966</c:v>
                </c:pt>
                <c:pt idx="4">
                  <c:v>818183375.55460119</c:v>
                </c:pt>
                <c:pt idx="5">
                  <c:v>814468622.632653</c:v>
                </c:pt>
                <c:pt idx="6">
                  <c:v>808645132.64808369</c:v>
                </c:pt>
                <c:pt idx="7">
                  <c:v>802077448.42800677</c:v>
                </c:pt>
                <c:pt idx="8">
                  <c:v>846019703.2929405</c:v>
                </c:pt>
                <c:pt idx="9">
                  <c:v>839472160.12173903</c:v>
                </c:pt>
                <c:pt idx="10">
                  <c:v>869148848.32503963</c:v>
                </c:pt>
                <c:pt idx="11">
                  <c:v>961083485.74193537</c:v>
                </c:pt>
                <c:pt idx="12">
                  <c:v>946332975.28869045</c:v>
                </c:pt>
                <c:pt idx="13">
                  <c:v>935408383.244573</c:v>
                </c:pt>
                <c:pt idx="14">
                  <c:v>927485950.14119828</c:v>
                </c:pt>
                <c:pt idx="15">
                  <c:v>954704627.26671016</c:v>
                </c:pt>
                <c:pt idx="16">
                  <c:v>957630558.91130877</c:v>
                </c:pt>
                <c:pt idx="17">
                  <c:v>946537983.08882368</c:v>
                </c:pt>
                <c:pt idx="18">
                  <c:v>938153309.87586558</c:v>
                </c:pt>
                <c:pt idx="19">
                  <c:v>938831596.00446415</c:v>
                </c:pt>
                <c:pt idx="20">
                  <c:v>952555148.03595483</c:v>
                </c:pt>
                <c:pt idx="21">
                  <c:v>1011517166.4125051</c:v>
                </c:pt>
                <c:pt idx="22">
                  <c:v>1018810952.306545</c:v>
                </c:pt>
              </c:numCache>
            </c:numRef>
          </c:val>
          <c:smooth val="0"/>
        </c:ser>
        <c:dLbls>
          <c:showLegendKey val="0"/>
          <c:showVal val="0"/>
          <c:showCatName val="0"/>
          <c:showSerName val="0"/>
          <c:showPercent val="0"/>
          <c:showBubbleSize val="0"/>
        </c:dLbls>
        <c:marker val="1"/>
        <c:smooth val="0"/>
        <c:axId val="141623296"/>
        <c:axId val="141624832"/>
      </c:lineChart>
      <c:catAx>
        <c:axId val="141623296"/>
        <c:scaling>
          <c:orientation val="minMax"/>
        </c:scaling>
        <c:delete val="0"/>
        <c:axPos val="b"/>
        <c:numFmt formatCode="General" sourceLinked="1"/>
        <c:majorTickMark val="out"/>
        <c:minorTickMark val="none"/>
        <c:tickLblPos val="nextTo"/>
        <c:crossAx val="141624832"/>
        <c:crosses val="autoZero"/>
        <c:auto val="1"/>
        <c:lblAlgn val="ctr"/>
        <c:lblOffset val="100"/>
        <c:noMultiLvlLbl val="0"/>
      </c:catAx>
      <c:valAx>
        <c:axId val="141624832"/>
        <c:scaling>
          <c:orientation val="minMax"/>
        </c:scaling>
        <c:delete val="0"/>
        <c:axPos val="l"/>
        <c:majorGridlines/>
        <c:numFmt formatCode="#,##0" sourceLinked="0"/>
        <c:majorTickMark val="out"/>
        <c:minorTickMark val="none"/>
        <c:tickLblPos val="nextTo"/>
        <c:crossAx val="141623296"/>
        <c:crosses val="autoZero"/>
        <c:crossBetween val="between"/>
      </c:valAx>
    </c:plotArea>
    <c:legend>
      <c:legendPos val="r"/>
      <c:layout>
        <c:manualLayout>
          <c:xMode val="edge"/>
          <c:yMode val="edge"/>
          <c:x val="0.21987467191601048"/>
          <c:y val="0.15239391951006123"/>
          <c:w val="0.20512532808398951"/>
          <c:h val="0.16743438320209975"/>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57174103237097"/>
          <c:y val="5.1400554097404488E-2"/>
          <c:w val="0.80116732283464565"/>
          <c:h val="0.78278032954214061"/>
        </c:manualLayout>
      </c:layout>
      <c:lineChart>
        <c:grouping val="standard"/>
        <c:varyColors val="0"/>
        <c:ser>
          <c:idx val="0"/>
          <c:order val="0"/>
          <c:tx>
            <c:strRef>
              <c:f>SummarySheet!$A$3</c:f>
              <c:strCache>
                <c:ptCount val="1"/>
                <c:pt idx="0">
                  <c:v>Current $</c:v>
                </c:pt>
              </c:strCache>
            </c:strRef>
          </c:tx>
          <c:marker>
            <c:symbol val="none"/>
          </c:marker>
          <c:cat>
            <c:numRef>
              <c:f>SummarySheet!$B$1:$X$1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SummarySheet!$B$3:$X$3</c:f>
              <c:numCache>
                <c:formatCode>General</c:formatCode>
                <c:ptCount val="23"/>
                <c:pt idx="0">
                  <c:v>216566058</c:v>
                </c:pt>
                <c:pt idx="1">
                  <c:v>287449565</c:v>
                </c:pt>
                <c:pt idx="2">
                  <c:v>300660289</c:v>
                </c:pt>
                <c:pt idx="3">
                  <c:v>326751957</c:v>
                </c:pt>
                <c:pt idx="4">
                  <c:v>337689466</c:v>
                </c:pt>
                <c:pt idx="5">
                  <c:v>376943067</c:v>
                </c:pt>
                <c:pt idx="6">
                  <c:v>423016643</c:v>
                </c:pt>
                <c:pt idx="7">
                  <c:v>443213566</c:v>
                </c:pt>
                <c:pt idx="8">
                  <c:v>478373438</c:v>
                </c:pt>
                <c:pt idx="9">
                  <c:v>495971904</c:v>
                </c:pt>
                <c:pt idx="10">
                  <c:v>515087474</c:v>
                </c:pt>
                <c:pt idx="11">
                  <c:v>563462010</c:v>
                </c:pt>
                <c:pt idx="12">
                  <c:v>640370992</c:v>
                </c:pt>
                <c:pt idx="13">
                  <c:v>659617423</c:v>
                </c:pt>
                <c:pt idx="14">
                  <c:v>687696857</c:v>
                </c:pt>
                <c:pt idx="15">
                  <c:v>719006885</c:v>
                </c:pt>
                <c:pt idx="16">
                  <c:v>719303367</c:v>
                </c:pt>
                <c:pt idx="17">
                  <c:v>748403098</c:v>
                </c:pt>
                <c:pt idx="18">
                  <c:v>761176683</c:v>
                </c:pt>
                <c:pt idx="19">
                  <c:v>776810416</c:v>
                </c:pt>
                <c:pt idx="20">
                  <c:v>715651364.24000001</c:v>
                </c:pt>
                <c:pt idx="21">
                  <c:v>746126489.89999998</c:v>
                </c:pt>
                <c:pt idx="22">
                  <c:v>910103110</c:v>
                </c:pt>
              </c:numCache>
            </c:numRef>
          </c:val>
          <c:smooth val="0"/>
        </c:ser>
        <c:ser>
          <c:idx val="1"/>
          <c:order val="1"/>
          <c:tx>
            <c:strRef>
              <c:f>SummarySheet!$A$7</c:f>
              <c:strCache>
                <c:ptCount val="1"/>
                <c:pt idx="0">
                  <c:v>Constant $</c:v>
                </c:pt>
              </c:strCache>
            </c:strRef>
          </c:tx>
          <c:marker>
            <c:symbol val="none"/>
          </c:marker>
          <c:cat>
            <c:numRef>
              <c:f>SummarySheet!$B$1:$X$1</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SummarySheet!$B$7:$X$7</c:f>
              <c:numCache>
                <c:formatCode>General</c:formatCode>
                <c:ptCount val="23"/>
                <c:pt idx="0">
                  <c:v>216566058</c:v>
                </c:pt>
                <c:pt idx="1">
                  <c:v>279527726.59448814</c:v>
                </c:pt>
                <c:pt idx="2">
                  <c:v>283988877.18164432</c:v>
                </c:pt>
                <c:pt idx="3">
                  <c:v>301711152.81869155</c:v>
                </c:pt>
                <c:pt idx="4">
                  <c:v>307028091.17300612</c:v>
                </c:pt>
                <c:pt idx="5">
                  <c:v>335311899.93637455</c:v>
                </c:pt>
                <c:pt idx="6">
                  <c:v>364059619.58536589</c:v>
                </c:pt>
                <c:pt idx="7">
                  <c:v>370887919.14850366</c:v>
                </c:pt>
                <c:pt idx="8">
                  <c:v>394079730.47026122</c:v>
                </c:pt>
                <c:pt idx="9">
                  <c:v>399473022.67826086</c:v>
                </c:pt>
                <c:pt idx="10">
                  <c:v>404107801.20063519</c:v>
                </c:pt>
                <c:pt idx="11">
                  <c:v>427573322.4884792</c:v>
                </c:pt>
                <c:pt idx="12">
                  <c:v>470748913.76190472</c:v>
                </c:pt>
                <c:pt idx="13">
                  <c:v>471564409.496382</c:v>
                </c:pt>
                <c:pt idx="14">
                  <c:v>473370525.8123548</c:v>
                </c:pt>
                <c:pt idx="15">
                  <c:v>496675773.08194274</c:v>
                </c:pt>
                <c:pt idx="16">
                  <c:v>488859758.73337609</c:v>
                </c:pt>
                <c:pt idx="17">
                  <c:v>493079661.79247797</c:v>
                </c:pt>
                <c:pt idx="18">
                  <c:v>491338405.07252049</c:v>
                </c:pt>
                <c:pt idx="19">
                  <c:v>494176269.10714281</c:v>
                </c:pt>
                <c:pt idx="20">
                  <c:v>448000051.45040119</c:v>
                </c:pt>
                <c:pt idx="21">
                  <c:v>466525802.89924896</c:v>
                </c:pt>
                <c:pt idx="22">
                  <c:v>558729415.50124264</c:v>
                </c:pt>
              </c:numCache>
            </c:numRef>
          </c:val>
          <c:smooth val="0"/>
        </c:ser>
        <c:dLbls>
          <c:showLegendKey val="0"/>
          <c:showVal val="0"/>
          <c:showCatName val="0"/>
          <c:showSerName val="0"/>
          <c:showPercent val="0"/>
          <c:showBubbleSize val="0"/>
        </c:dLbls>
        <c:marker val="1"/>
        <c:smooth val="0"/>
        <c:axId val="141645696"/>
        <c:axId val="141647232"/>
      </c:lineChart>
      <c:catAx>
        <c:axId val="141645696"/>
        <c:scaling>
          <c:orientation val="minMax"/>
        </c:scaling>
        <c:delete val="0"/>
        <c:axPos val="b"/>
        <c:numFmt formatCode="General" sourceLinked="1"/>
        <c:majorTickMark val="out"/>
        <c:minorTickMark val="none"/>
        <c:tickLblPos val="nextTo"/>
        <c:crossAx val="141647232"/>
        <c:crosses val="autoZero"/>
        <c:auto val="1"/>
        <c:lblAlgn val="ctr"/>
        <c:lblOffset val="100"/>
        <c:noMultiLvlLbl val="0"/>
      </c:catAx>
      <c:valAx>
        <c:axId val="141647232"/>
        <c:scaling>
          <c:orientation val="minMax"/>
        </c:scaling>
        <c:delete val="0"/>
        <c:axPos val="l"/>
        <c:majorGridlines/>
        <c:numFmt formatCode="#,##0" sourceLinked="0"/>
        <c:majorTickMark val="out"/>
        <c:minorTickMark val="none"/>
        <c:tickLblPos val="nextTo"/>
        <c:crossAx val="141645696"/>
        <c:crosses val="autoZero"/>
        <c:crossBetween val="between"/>
      </c:valAx>
    </c:plotArea>
    <c:legend>
      <c:legendPos val="r"/>
      <c:layout>
        <c:manualLayout>
          <c:xMode val="edge"/>
          <c:yMode val="edge"/>
          <c:x val="0.20043022747156608"/>
          <c:y val="0.12461614173228347"/>
          <c:w val="0.20512532808398951"/>
          <c:h val="0.16743438320209975"/>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CCECB-5CB3-4415-AEB6-8C8414530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2015</Words>
  <Characters>11487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Knotwell</dc:creator>
  <cp:lastModifiedBy>City Of Grand Island</cp:lastModifiedBy>
  <cp:revision>4</cp:revision>
  <dcterms:created xsi:type="dcterms:W3CDTF">2018-03-27T21:10:00Z</dcterms:created>
  <dcterms:modified xsi:type="dcterms:W3CDTF">2018-03-27T21:11:00Z</dcterms:modified>
</cp:coreProperties>
</file>