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lassicTitle"/>
        <w:tblW w:w="0" w:type="auto"/>
        <w:tblLayout w:type="fixed"/>
        <w:tblLook w:val="04A0" w:firstRow="1" w:lastRow="0" w:firstColumn="1" w:lastColumn="0" w:noHBand="0" w:noVBand="1"/>
        <w:tblCaption w:val="Title table"/>
      </w:tblPr>
      <w:tblGrid>
        <w:gridCol w:w="10080"/>
      </w:tblGrid>
      <w:tr w:rsidR="00FA4DC7">
        <w:tc>
          <w:tcPr>
            <w:tcW w:w="10080" w:type="dxa"/>
          </w:tcPr>
          <w:p w:rsidR="00FA4DC7" w:rsidRDefault="003F7DCE">
            <w:pPr>
              <w:pStyle w:val="Title"/>
            </w:pPr>
            <w:bookmarkStart w:id="0" w:name="_GoBack"/>
            <w:bookmarkEnd w:id="0"/>
            <w:r>
              <w:t>Entitlement Stakeholders</w:t>
            </w:r>
          </w:p>
        </w:tc>
      </w:tr>
    </w:tbl>
    <w:p w:rsidR="00FA4DC7" w:rsidRDefault="00FA4DC7"/>
    <w:tbl>
      <w:tblPr>
        <w:tblStyle w:val="FormTable"/>
        <w:tblW w:w="0" w:type="auto"/>
        <w:tblLook w:val="04A0" w:firstRow="1" w:lastRow="0" w:firstColumn="1" w:lastColumn="0" w:noHBand="0" w:noVBand="1"/>
        <w:tblCaption w:val="Meeting info"/>
      </w:tblPr>
      <w:tblGrid>
        <w:gridCol w:w="1710"/>
        <w:gridCol w:w="8360"/>
      </w:tblGrid>
      <w:tr w:rsidR="00FA4DC7" w:rsidRPr="00E77FB1">
        <w:tc>
          <w:tcPr>
            <w:tcW w:w="1710" w:type="dxa"/>
          </w:tcPr>
          <w:p w:rsidR="00FA4DC7" w:rsidRPr="00E77FB1" w:rsidRDefault="0032609B">
            <w:pPr>
              <w:rPr>
                <w:rFonts w:ascii="Times New Roman" w:hAnsi="Times New Roman" w:cs="Times New Roman"/>
              </w:rPr>
            </w:pPr>
            <w:r w:rsidRPr="00E77FB1">
              <w:rPr>
                <w:rFonts w:ascii="Times New Roman" w:hAnsi="Times New Roman" w:cs="Times New Roman"/>
              </w:rPr>
              <w:t>Date:</w:t>
            </w:r>
          </w:p>
        </w:tc>
        <w:tc>
          <w:tcPr>
            <w:tcW w:w="8360" w:type="dxa"/>
          </w:tcPr>
          <w:p w:rsidR="00FA4DC7" w:rsidRPr="00E77FB1" w:rsidRDefault="006D06C3" w:rsidP="006D06C3">
            <w:pPr>
              <w:rPr>
                <w:rFonts w:ascii="Times New Roman" w:hAnsi="Times New Roman" w:cs="Times New Roman"/>
              </w:rPr>
            </w:pPr>
            <w:r>
              <w:rPr>
                <w:rFonts w:ascii="Times New Roman" w:hAnsi="Times New Roman" w:cs="Times New Roman"/>
              </w:rPr>
              <w:t>May 26, 2022</w:t>
            </w:r>
          </w:p>
        </w:tc>
      </w:tr>
      <w:tr w:rsidR="00FA4DC7" w:rsidRPr="00E77FB1">
        <w:tc>
          <w:tcPr>
            <w:tcW w:w="1710" w:type="dxa"/>
          </w:tcPr>
          <w:p w:rsidR="00FA4DC7" w:rsidRPr="00E77FB1" w:rsidRDefault="0032609B">
            <w:pPr>
              <w:rPr>
                <w:rFonts w:ascii="Times New Roman" w:hAnsi="Times New Roman" w:cs="Times New Roman"/>
              </w:rPr>
            </w:pPr>
            <w:r w:rsidRPr="00E77FB1">
              <w:rPr>
                <w:rFonts w:ascii="Times New Roman" w:hAnsi="Times New Roman" w:cs="Times New Roman"/>
              </w:rPr>
              <w:t>Time:</w:t>
            </w:r>
          </w:p>
        </w:tc>
        <w:tc>
          <w:tcPr>
            <w:tcW w:w="8360" w:type="dxa"/>
          </w:tcPr>
          <w:p w:rsidR="00FA4DC7" w:rsidRDefault="00920DB7" w:rsidP="00F0782E">
            <w:pPr>
              <w:rPr>
                <w:rFonts w:ascii="Times New Roman" w:hAnsi="Times New Roman" w:cs="Times New Roman"/>
              </w:rPr>
            </w:pPr>
            <w:r w:rsidRPr="00E77FB1">
              <w:rPr>
                <w:rFonts w:ascii="Times New Roman" w:hAnsi="Times New Roman" w:cs="Times New Roman"/>
              </w:rPr>
              <w:t>2</w:t>
            </w:r>
            <w:r w:rsidR="00F0782E" w:rsidRPr="00E77FB1">
              <w:rPr>
                <w:rFonts w:ascii="Times New Roman" w:hAnsi="Times New Roman" w:cs="Times New Roman"/>
              </w:rPr>
              <w:t>:00 pm</w:t>
            </w:r>
          </w:p>
          <w:p w:rsidR="00CF1B18" w:rsidRDefault="00CF1B18" w:rsidP="00F0782E">
            <w:pPr>
              <w:rPr>
                <w:rFonts w:ascii="Times New Roman" w:hAnsi="Times New Roman" w:cs="Times New Roman"/>
              </w:rPr>
            </w:pPr>
            <w:r>
              <w:rPr>
                <w:rFonts w:ascii="Times New Roman" w:hAnsi="Times New Roman" w:cs="Times New Roman"/>
              </w:rPr>
              <w:t xml:space="preserve">Present: Barry Hall, Cindy Johnson, Jerry Janulewicz, </w:t>
            </w:r>
            <w:proofErr w:type="spellStart"/>
            <w:r>
              <w:rPr>
                <w:rFonts w:ascii="Times New Roman" w:hAnsi="Times New Roman" w:cs="Times New Roman"/>
              </w:rPr>
              <w:t>Tonja</w:t>
            </w:r>
            <w:proofErr w:type="spellEnd"/>
            <w:r>
              <w:rPr>
                <w:rFonts w:ascii="Times New Roman" w:hAnsi="Times New Roman" w:cs="Times New Roman"/>
              </w:rPr>
              <w:t xml:space="preserve"> Brown</w:t>
            </w:r>
          </w:p>
          <w:p w:rsidR="002C6A9E" w:rsidRDefault="00CF1B18" w:rsidP="00F0782E">
            <w:pPr>
              <w:rPr>
                <w:rFonts w:ascii="Times New Roman" w:hAnsi="Times New Roman" w:cs="Times New Roman"/>
              </w:rPr>
            </w:pPr>
            <w:r>
              <w:rPr>
                <w:rFonts w:ascii="Times New Roman" w:hAnsi="Times New Roman" w:cs="Times New Roman"/>
              </w:rPr>
              <w:t>Non</w:t>
            </w:r>
            <w:r w:rsidR="00E11B31">
              <w:rPr>
                <w:rFonts w:ascii="Times New Roman" w:hAnsi="Times New Roman" w:cs="Times New Roman"/>
              </w:rPr>
              <w:t>-</w:t>
            </w:r>
            <w:r>
              <w:rPr>
                <w:rFonts w:ascii="Times New Roman" w:hAnsi="Times New Roman" w:cs="Times New Roman"/>
              </w:rPr>
              <w:t>voting members present: Chad Nabity- Regional Planning director, Amber Alvidrez- Comm</w:t>
            </w:r>
            <w:r w:rsidR="002C6A9E">
              <w:rPr>
                <w:rFonts w:ascii="Times New Roman" w:hAnsi="Times New Roman" w:cs="Times New Roman"/>
              </w:rPr>
              <w:t>unity Development Administrator</w:t>
            </w:r>
          </w:p>
          <w:p w:rsidR="002C6A9E" w:rsidRPr="00E77FB1" w:rsidRDefault="002C6A9E" w:rsidP="00F0782E">
            <w:pPr>
              <w:rPr>
                <w:rFonts w:ascii="Times New Roman" w:hAnsi="Times New Roman" w:cs="Times New Roman"/>
              </w:rPr>
            </w:pPr>
            <w:r>
              <w:rPr>
                <w:rFonts w:ascii="Times New Roman" w:hAnsi="Times New Roman" w:cs="Times New Roman"/>
              </w:rPr>
              <w:t xml:space="preserve">Absent: </w:t>
            </w:r>
          </w:p>
        </w:tc>
      </w:tr>
    </w:tbl>
    <w:p w:rsidR="00D74CCD" w:rsidRPr="008C02C0" w:rsidRDefault="00D74CCD" w:rsidP="00D74CCD">
      <w:pPr>
        <w:pStyle w:val="BodyText"/>
        <w:ind w:left="0"/>
      </w:pPr>
    </w:p>
    <w:p w:rsidR="0064469D" w:rsidRDefault="0064469D" w:rsidP="0064469D">
      <w:pPr>
        <w:pStyle w:val="Heading2"/>
      </w:pPr>
      <w:r>
        <w:t>Call to Order</w:t>
      </w:r>
    </w:p>
    <w:p w:rsidR="0064469D" w:rsidRDefault="0064469D" w:rsidP="0064469D">
      <w:pPr>
        <w:pStyle w:val="BodyText"/>
      </w:pPr>
      <w:r>
        <w:t xml:space="preserve">This is a public meeting subject to the open meetings laws of the State of Nebraska. The requirements for an open meeting are posted on the wall in this room and anyone that wants to find out what those are is welcome to read through them. </w:t>
      </w:r>
    </w:p>
    <w:p w:rsidR="00CF1B18" w:rsidRPr="00CF1B18" w:rsidRDefault="00CF1B18" w:rsidP="0064469D">
      <w:pPr>
        <w:pStyle w:val="BodyText"/>
        <w:rPr>
          <w:color w:val="FF0000"/>
        </w:rPr>
      </w:pPr>
      <w:r>
        <w:rPr>
          <w:color w:val="FF0000"/>
        </w:rPr>
        <w:t xml:space="preserve">Chair person was absent and Amber Alvidrez Community Development Director called the meeting to order at 2:02 pm. </w:t>
      </w:r>
    </w:p>
    <w:p w:rsidR="0064469D" w:rsidRDefault="0064469D" w:rsidP="004D7728">
      <w:pPr>
        <w:pStyle w:val="Heading2"/>
      </w:pPr>
      <w:r>
        <w:t>Approval of</w:t>
      </w:r>
      <w:r w:rsidR="00140C92">
        <w:t xml:space="preserve"> minutes of June 10, 2021 meeting.</w:t>
      </w:r>
    </w:p>
    <w:p w:rsidR="00CF1B18" w:rsidRPr="00CF1B18" w:rsidRDefault="00CF1B18" w:rsidP="00CF1B18">
      <w:pPr>
        <w:pStyle w:val="BodyText"/>
        <w:rPr>
          <w:color w:val="FF0000"/>
        </w:rPr>
      </w:pPr>
      <w:r>
        <w:rPr>
          <w:color w:val="FF0000"/>
        </w:rPr>
        <w:t xml:space="preserve">Barry Hall made a motion to approve June 10, 2021 meeting minutes, motion was seconded by Cindy Johnson. No discussion, upon vote motion was approved. </w:t>
      </w:r>
    </w:p>
    <w:p w:rsidR="008C02C0" w:rsidRDefault="00140C92" w:rsidP="0064469D">
      <w:pPr>
        <w:pStyle w:val="Heading2"/>
      </w:pPr>
      <w:r>
        <w:t xml:space="preserve"> Proposal presentations: </w:t>
      </w:r>
    </w:p>
    <w:tbl>
      <w:tblPr>
        <w:tblStyle w:val="TableGrid"/>
        <w:tblW w:w="0" w:type="auto"/>
        <w:tblInd w:w="576" w:type="dxa"/>
        <w:tblLook w:val="04A0" w:firstRow="1" w:lastRow="0" w:firstColumn="1" w:lastColumn="0" w:noHBand="0" w:noVBand="1"/>
      </w:tblPr>
      <w:tblGrid>
        <w:gridCol w:w="3110"/>
        <w:gridCol w:w="3074"/>
        <w:gridCol w:w="3310"/>
      </w:tblGrid>
      <w:tr w:rsidR="00140C92" w:rsidTr="00CF1B18">
        <w:tc>
          <w:tcPr>
            <w:tcW w:w="3110" w:type="dxa"/>
          </w:tcPr>
          <w:p w:rsidR="00140C92" w:rsidRDefault="00140C92" w:rsidP="00140C92">
            <w:pPr>
              <w:pStyle w:val="BodyText"/>
              <w:ind w:left="0"/>
            </w:pPr>
            <w:r>
              <w:t xml:space="preserve">Agency </w:t>
            </w:r>
          </w:p>
        </w:tc>
        <w:tc>
          <w:tcPr>
            <w:tcW w:w="3074" w:type="dxa"/>
          </w:tcPr>
          <w:p w:rsidR="00140C92" w:rsidRDefault="00140C92" w:rsidP="00140C92">
            <w:pPr>
              <w:pStyle w:val="BodyText"/>
              <w:ind w:left="0"/>
            </w:pPr>
            <w:r>
              <w:t>Project</w:t>
            </w:r>
          </w:p>
        </w:tc>
        <w:tc>
          <w:tcPr>
            <w:tcW w:w="3310" w:type="dxa"/>
          </w:tcPr>
          <w:p w:rsidR="00140C92" w:rsidRDefault="00140C92" w:rsidP="00140C92">
            <w:pPr>
              <w:pStyle w:val="BodyText"/>
              <w:ind w:left="0"/>
            </w:pPr>
            <w:r>
              <w:t>Funding Request</w:t>
            </w:r>
          </w:p>
        </w:tc>
      </w:tr>
      <w:tr w:rsidR="00140C92" w:rsidTr="00E11B31">
        <w:tc>
          <w:tcPr>
            <w:tcW w:w="3110" w:type="dxa"/>
          </w:tcPr>
          <w:p w:rsidR="00140C92" w:rsidRDefault="00D83EC9" w:rsidP="00D83EC9">
            <w:pPr>
              <w:pStyle w:val="BodyText"/>
              <w:ind w:left="0" w:right="-36"/>
            </w:pPr>
            <w:r>
              <w:t xml:space="preserve">Railside </w:t>
            </w:r>
          </w:p>
        </w:tc>
        <w:tc>
          <w:tcPr>
            <w:tcW w:w="3074" w:type="dxa"/>
          </w:tcPr>
          <w:p w:rsidR="00CF1B18" w:rsidRPr="00CF1B18" w:rsidRDefault="00D83EC9" w:rsidP="00140C92">
            <w:pPr>
              <w:pStyle w:val="BodyText"/>
              <w:ind w:left="0" w:right="-90"/>
            </w:pPr>
            <w:r>
              <w:t>Small Business Rental Assistance</w:t>
            </w:r>
          </w:p>
        </w:tc>
        <w:tc>
          <w:tcPr>
            <w:tcW w:w="3310" w:type="dxa"/>
          </w:tcPr>
          <w:p w:rsidR="00140C92" w:rsidRDefault="00D83EC9" w:rsidP="00D83EC9">
            <w:pPr>
              <w:pStyle w:val="BodyText"/>
              <w:ind w:left="0" w:right="-108"/>
            </w:pPr>
            <w:r>
              <w:t>$25,000</w:t>
            </w:r>
          </w:p>
        </w:tc>
      </w:tr>
      <w:tr w:rsidR="00CF1B18" w:rsidTr="00C34EC5">
        <w:tc>
          <w:tcPr>
            <w:tcW w:w="9494" w:type="dxa"/>
            <w:gridSpan w:val="3"/>
          </w:tcPr>
          <w:p w:rsidR="00E5486C" w:rsidRDefault="00CF1B18" w:rsidP="00D83EC9">
            <w:pPr>
              <w:pStyle w:val="BodyText"/>
              <w:ind w:left="0" w:right="-108"/>
              <w:rPr>
                <w:color w:val="FF0000"/>
              </w:rPr>
            </w:pPr>
            <w:r>
              <w:rPr>
                <w:color w:val="FF0000"/>
              </w:rPr>
              <w:t xml:space="preserve">Amos Anson presented Railside’s proposal for funding, the SBRA will aid in recruiting businesses to the blight and substandard area number #1 not just Railside, this will be done with the use of CDBG by offering aid in the form of Rent Abatement. Mr. Anson explained that each applicant applying for funds goes through a rigorous application  which helps not only the program but requires the new business to have a solid business plan and provides the necessary aid to help new </w:t>
            </w:r>
            <w:r w:rsidR="00E5486C">
              <w:rPr>
                <w:color w:val="FF0000"/>
              </w:rPr>
              <w:t xml:space="preserve">business owners  be successful. Throughout the previous 2016 program 15 small businesses were aided.    </w:t>
            </w:r>
          </w:p>
          <w:p w:rsidR="00E5486C" w:rsidRDefault="00E5486C" w:rsidP="00D83EC9">
            <w:pPr>
              <w:pStyle w:val="BodyText"/>
              <w:ind w:left="0" w:right="-108"/>
              <w:rPr>
                <w:color w:val="FF0000"/>
              </w:rPr>
            </w:pPr>
            <w:r>
              <w:rPr>
                <w:color w:val="FF0000"/>
              </w:rPr>
              <w:t xml:space="preserve">Questions: </w:t>
            </w:r>
          </w:p>
          <w:p w:rsidR="00CF1B18" w:rsidRDefault="00E5486C" w:rsidP="00E5486C">
            <w:pPr>
              <w:pStyle w:val="BodyText"/>
              <w:numPr>
                <w:ilvl w:val="0"/>
                <w:numId w:val="16"/>
              </w:numPr>
              <w:ind w:right="-108"/>
              <w:rPr>
                <w:color w:val="FF0000"/>
              </w:rPr>
            </w:pPr>
            <w:r>
              <w:rPr>
                <w:color w:val="FF0000"/>
              </w:rPr>
              <w:lastRenderedPageBreak/>
              <w:t xml:space="preserve">How many of the applicants actual follow through with the process.  Mr. Anson did not have an exact number although he would assume about 25% of not accepted but they are usually returned with what needs to be completed and given a chance to fix areas. </w:t>
            </w:r>
          </w:p>
          <w:p w:rsidR="00E5486C" w:rsidRDefault="00E5486C" w:rsidP="00E5486C">
            <w:pPr>
              <w:pStyle w:val="BodyText"/>
              <w:numPr>
                <w:ilvl w:val="0"/>
                <w:numId w:val="16"/>
              </w:numPr>
              <w:ind w:right="-108"/>
              <w:rPr>
                <w:color w:val="FF0000"/>
              </w:rPr>
            </w:pPr>
            <w:r>
              <w:rPr>
                <w:color w:val="FF0000"/>
              </w:rPr>
              <w:t xml:space="preserve">What kind of marketing does Railside do for this program? Mr. Anson noted that it is by word of mouth at this time and that Railside could do better to market the program.  Previously the rubric had a bonus question that awarded points to applicants moving into Railside but that has recently been removed to. </w:t>
            </w:r>
          </w:p>
          <w:p w:rsidR="00E5486C" w:rsidRDefault="00E5486C" w:rsidP="00E5486C">
            <w:pPr>
              <w:pStyle w:val="BodyText"/>
              <w:numPr>
                <w:ilvl w:val="0"/>
                <w:numId w:val="16"/>
              </w:numPr>
              <w:ind w:right="-108"/>
              <w:rPr>
                <w:color w:val="FF0000"/>
              </w:rPr>
            </w:pPr>
            <w:r>
              <w:rPr>
                <w:color w:val="FF0000"/>
              </w:rPr>
              <w:t xml:space="preserve">Does the program only help with rent or aid the small business with other costs? The program is meant to aid in rent although it has possibly been used in other ways in other ways in the past. Amber Alvidrez Comm. Dev. Administrator noted that the building owner, applicant both enter into an agreement with the City and the funds go directly to the Building owner for rent abatement. </w:t>
            </w:r>
          </w:p>
          <w:p w:rsidR="00E5486C" w:rsidRPr="00E5486C" w:rsidRDefault="00464F27" w:rsidP="00464F27">
            <w:pPr>
              <w:pStyle w:val="BodyText"/>
              <w:numPr>
                <w:ilvl w:val="0"/>
                <w:numId w:val="16"/>
              </w:numPr>
              <w:ind w:right="-108"/>
              <w:rPr>
                <w:color w:val="FF0000"/>
              </w:rPr>
            </w:pPr>
            <w:r>
              <w:rPr>
                <w:color w:val="FF0000"/>
              </w:rPr>
              <w:t xml:space="preserve">Can a business apply if they do not have a landlord or own the building? The Business and the building owner need to be different legal entities. </w:t>
            </w:r>
          </w:p>
        </w:tc>
      </w:tr>
      <w:tr w:rsidR="00140C92" w:rsidTr="00CF1B18">
        <w:tc>
          <w:tcPr>
            <w:tcW w:w="3110" w:type="dxa"/>
          </w:tcPr>
          <w:p w:rsidR="00140C92" w:rsidRDefault="00D83EC9" w:rsidP="00140C92">
            <w:pPr>
              <w:pStyle w:val="BodyText"/>
              <w:ind w:left="0"/>
            </w:pPr>
            <w:r>
              <w:lastRenderedPageBreak/>
              <w:t>CNCAP</w:t>
            </w:r>
          </w:p>
        </w:tc>
        <w:tc>
          <w:tcPr>
            <w:tcW w:w="3074" w:type="dxa"/>
          </w:tcPr>
          <w:p w:rsidR="00140C92" w:rsidRDefault="00D83EC9" w:rsidP="00140C92">
            <w:pPr>
              <w:pStyle w:val="BodyText"/>
              <w:ind w:left="0" w:right="-72"/>
            </w:pPr>
            <w:r>
              <w:t>Emergency Payments</w:t>
            </w:r>
          </w:p>
        </w:tc>
        <w:tc>
          <w:tcPr>
            <w:tcW w:w="3310" w:type="dxa"/>
          </w:tcPr>
          <w:p w:rsidR="00140C92" w:rsidRDefault="00D83EC9" w:rsidP="00140C92">
            <w:pPr>
              <w:pStyle w:val="BodyText"/>
              <w:ind w:left="0"/>
            </w:pPr>
            <w:r>
              <w:t>$20,000</w:t>
            </w:r>
          </w:p>
        </w:tc>
      </w:tr>
      <w:tr w:rsidR="00E11B31" w:rsidTr="00F259C6">
        <w:tc>
          <w:tcPr>
            <w:tcW w:w="9494" w:type="dxa"/>
            <w:gridSpan w:val="3"/>
          </w:tcPr>
          <w:p w:rsidR="00E11B31" w:rsidRDefault="008423AF" w:rsidP="00032FBE">
            <w:pPr>
              <w:pStyle w:val="BodyText"/>
              <w:ind w:left="0"/>
              <w:rPr>
                <w:color w:val="FF0000"/>
              </w:rPr>
            </w:pPr>
            <w:r>
              <w:rPr>
                <w:color w:val="FF0000"/>
              </w:rPr>
              <w:t>Cheryl Holcomb</w:t>
            </w:r>
            <w:r w:rsidR="00930093" w:rsidRPr="003213C6">
              <w:rPr>
                <w:color w:val="FF0000"/>
              </w:rPr>
              <w:t xml:space="preserve"> presented</w:t>
            </w:r>
            <w:r>
              <w:rPr>
                <w:color w:val="FF0000"/>
              </w:rPr>
              <w:t xml:space="preserve"> CNCAP’s proposal.</w:t>
            </w:r>
            <w:r w:rsidR="00930093" w:rsidRPr="003213C6">
              <w:rPr>
                <w:color w:val="FF0000"/>
              </w:rPr>
              <w:t xml:space="preserve"> </w:t>
            </w:r>
            <w:proofErr w:type="spellStart"/>
            <w:r w:rsidR="00930093" w:rsidRPr="003213C6">
              <w:rPr>
                <w:color w:val="FF0000"/>
              </w:rPr>
              <w:t>Bre</w:t>
            </w:r>
            <w:proofErr w:type="spellEnd"/>
            <w:r w:rsidR="00930093" w:rsidRPr="003213C6">
              <w:rPr>
                <w:color w:val="FF0000"/>
              </w:rPr>
              <w:t xml:space="preserve"> Crow and Tiffany</w:t>
            </w:r>
            <w:r>
              <w:rPr>
                <w:color w:val="FF0000"/>
              </w:rPr>
              <w:t xml:space="preserve"> who work in the Grand Island office were both present as well. Mrs. </w:t>
            </w:r>
            <w:r w:rsidR="003213C6">
              <w:rPr>
                <w:color w:val="FF0000"/>
              </w:rPr>
              <w:t xml:space="preserve">Holcomb </w:t>
            </w:r>
            <w:r>
              <w:rPr>
                <w:color w:val="FF0000"/>
              </w:rPr>
              <w:t xml:space="preserve">informed the group that CNCAP has multiple other programs that do offer similar aid, although those programs are for clients who enroll and receive case management and work with the case managers for longer periods. CDBG funding would be used as a </w:t>
            </w:r>
            <w:r w:rsidR="00032FBE">
              <w:rPr>
                <w:color w:val="FF0000"/>
              </w:rPr>
              <w:t>onetime</w:t>
            </w:r>
            <w:r>
              <w:rPr>
                <w:color w:val="FF0000"/>
              </w:rPr>
              <w:t xml:space="preserve"> </w:t>
            </w:r>
            <w:r w:rsidR="00032FBE">
              <w:rPr>
                <w:color w:val="FF0000"/>
              </w:rPr>
              <w:t>support</w:t>
            </w:r>
            <w:r>
              <w:rPr>
                <w:color w:val="FF0000"/>
              </w:rPr>
              <w:t>, for those that don’t need the ca</w:t>
            </w:r>
            <w:r w:rsidR="00032FBE">
              <w:rPr>
                <w:color w:val="FF0000"/>
              </w:rPr>
              <w:t xml:space="preserve">se management or help regularly. It is projected that this funding would aid 20 households with rent assistance, and 16 with utility assistance. </w:t>
            </w:r>
          </w:p>
          <w:p w:rsidR="00032FBE" w:rsidRDefault="00032FBE" w:rsidP="00032FBE">
            <w:pPr>
              <w:pStyle w:val="BodyText"/>
              <w:ind w:left="0"/>
              <w:rPr>
                <w:color w:val="FF0000"/>
              </w:rPr>
            </w:pPr>
            <w:r>
              <w:rPr>
                <w:color w:val="FF0000"/>
              </w:rPr>
              <w:t xml:space="preserve">Questions: </w:t>
            </w:r>
          </w:p>
          <w:p w:rsidR="00032FBE" w:rsidRDefault="00032FBE" w:rsidP="00186C7D">
            <w:pPr>
              <w:pStyle w:val="BodyText"/>
              <w:numPr>
                <w:ilvl w:val="0"/>
                <w:numId w:val="17"/>
              </w:numPr>
            </w:pPr>
            <w:r>
              <w:rPr>
                <w:color w:val="FF0000"/>
              </w:rPr>
              <w:t>In the past there were other county funded programs that offered this same type of funding, is there still?  The County does not offer this funding or aid anymore</w:t>
            </w:r>
            <w:r w:rsidR="003C634C">
              <w:rPr>
                <w:color w:val="FF0000"/>
              </w:rPr>
              <w:t xml:space="preserve">, CNCAP does use other types of federal funding to they receive from the state for their other programs but each set of funds has different requirements, making it unusable for this type of program.  Amber Alvidrez did also mention that CDBG unlike the other programs will only pay for 3 months of payments per client. </w:t>
            </w:r>
          </w:p>
        </w:tc>
      </w:tr>
      <w:tr w:rsidR="00140C92" w:rsidTr="00CF1B18">
        <w:tc>
          <w:tcPr>
            <w:tcW w:w="3110" w:type="dxa"/>
          </w:tcPr>
          <w:p w:rsidR="00140C92" w:rsidRDefault="00D83EC9" w:rsidP="00140C92">
            <w:pPr>
              <w:pStyle w:val="BodyText"/>
              <w:ind w:left="0" w:right="-66"/>
            </w:pPr>
            <w:r>
              <w:t>KDL Child Care</w:t>
            </w:r>
          </w:p>
        </w:tc>
        <w:tc>
          <w:tcPr>
            <w:tcW w:w="3074" w:type="dxa"/>
          </w:tcPr>
          <w:p w:rsidR="00140C92" w:rsidRDefault="00D83EC9" w:rsidP="00D83EC9">
            <w:pPr>
              <w:pStyle w:val="BodyText"/>
              <w:ind w:left="0" w:right="-198"/>
            </w:pPr>
            <w:r>
              <w:t xml:space="preserve">KDL Childcare </w:t>
            </w:r>
          </w:p>
        </w:tc>
        <w:tc>
          <w:tcPr>
            <w:tcW w:w="3310" w:type="dxa"/>
          </w:tcPr>
          <w:p w:rsidR="00140C92" w:rsidRDefault="00D83EC9" w:rsidP="00140C92">
            <w:pPr>
              <w:pStyle w:val="BodyText"/>
              <w:ind w:left="0"/>
            </w:pPr>
            <w:r>
              <w:t>$128,217</w:t>
            </w:r>
          </w:p>
        </w:tc>
      </w:tr>
      <w:tr w:rsidR="00E11B31" w:rsidTr="00673ABC">
        <w:tc>
          <w:tcPr>
            <w:tcW w:w="9494" w:type="dxa"/>
            <w:gridSpan w:val="3"/>
          </w:tcPr>
          <w:p w:rsidR="00E11B31" w:rsidRDefault="003C634C" w:rsidP="00140C92">
            <w:pPr>
              <w:pStyle w:val="BodyText"/>
              <w:ind w:left="0"/>
              <w:rPr>
                <w:color w:val="FF0000"/>
              </w:rPr>
            </w:pPr>
            <w:r>
              <w:rPr>
                <w:color w:val="FF0000"/>
              </w:rPr>
              <w:t xml:space="preserve">Richard Cash presented on Behalf of KDL. Mr. cash informed the group that KDL is requesting funding to aid in the purchase of fire sprinklers, commercial overhead stove hood and new fencing around the outside play area of the facility. Richard explained that a new public works project may be changing the layout of the facility’s play area. It was also noted that recently a drainage basin was placed </w:t>
            </w:r>
            <w:r w:rsidR="00EA7A00">
              <w:rPr>
                <w:color w:val="FF0000"/>
              </w:rPr>
              <w:t xml:space="preserve">approximately 14 feet away from the front doors of the building, new fencing would help to keep children safe. </w:t>
            </w:r>
          </w:p>
          <w:p w:rsidR="00EA7A00" w:rsidRDefault="00EA7A00" w:rsidP="00140C92">
            <w:pPr>
              <w:pStyle w:val="BodyText"/>
              <w:ind w:left="0"/>
              <w:rPr>
                <w:color w:val="FF0000"/>
              </w:rPr>
            </w:pPr>
            <w:r>
              <w:rPr>
                <w:color w:val="FF0000"/>
              </w:rPr>
              <w:t>Questions:</w:t>
            </w:r>
          </w:p>
          <w:p w:rsidR="00186C7D" w:rsidRDefault="00EA7A00" w:rsidP="00186C7D">
            <w:pPr>
              <w:pStyle w:val="BodyText"/>
              <w:numPr>
                <w:ilvl w:val="0"/>
                <w:numId w:val="17"/>
              </w:numPr>
              <w:rPr>
                <w:color w:val="FF0000"/>
              </w:rPr>
            </w:pPr>
            <w:r>
              <w:rPr>
                <w:color w:val="FF0000"/>
              </w:rPr>
              <w:t xml:space="preserve">If funds were granted for the Hood system, will KDL purchase a commercial stove?  KDL does have funds saved up that will cover the cost of a commercial range that will fit the hood shown in the estimation.  </w:t>
            </w:r>
          </w:p>
          <w:p w:rsidR="00186C7D" w:rsidRDefault="00EA7A00" w:rsidP="00186C7D">
            <w:pPr>
              <w:pStyle w:val="BodyText"/>
              <w:numPr>
                <w:ilvl w:val="0"/>
                <w:numId w:val="17"/>
              </w:numPr>
              <w:rPr>
                <w:color w:val="FF0000"/>
              </w:rPr>
            </w:pPr>
            <w:r w:rsidRPr="00186C7D">
              <w:rPr>
                <w:color w:val="FF0000"/>
              </w:rPr>
              <w:t>KDL’s answer on question 2.4 about collaboration with others in the community and who they list was brought to attention. Is this what we are intending when asking that questions?</w:t>
            </w:r>
            <w:r w:rsidR="00186C7D">
              <w:rPr>
                <w:color w:val="FF0000"/>
              </w:rPr>
              <w:t xml:space="preserve">  Amber Alvidrez </w:t>
            </w:r>
            <w:r w:rsidRPr="00186C7D">
              <w:rPr>
                <w:color w:val="FF0000"/>
              </w:rPr>
              <w:t>answered that this q</w:t>
            </w:r>
            <w:r w:rsidR="00186C7D">
              <w:rPr>
                <w:color w:val="FF0000"/>
              </w:rPr>
              <w:t xml:space="preserve">uestion was harder for KDL as a </w:t>
            </w:r>
            <w:r w:rsidRPr="00186C7D">
              <w:rPr>
                <w:color w:val="FF0000"/>
              </w:rPr>
              <w:t>for profit agency vs a non-profit agency.  That usually we see how the services provider can partner with othe</w:t>
            </w:r>
            <w:r w:rsidR="00186C7D">
              <w:rPr>
                <w:color w:val="FF0000"/>
              </w:rPr>
              <w:t>rs to show</w:t>
            </w:r>
            <w:r w:rsidRPr="00186C7D">
              <w:rPr>
                <w:color w:val="FF0000"/>
              </w:rPr>
              <w:t xml:space="preserve"> furthering of funds, that the answer provided by KDL is not typically what we are looking for. </w:t>
            </w:r>
          </w:p>
          <w:p w:rsidR="00EA7A00" w:rsidRDefault="00186C7D" w:rsidP="00186C7D">
            <w:pPr>
              <w:pStyle w:val="BodyText"/>
              <w:numPr>
                <w:ilvl w:val="0"/>
                <w:numId w:val="17"/>
              </w:numPr>
              <w:rPr>
                <w:color w:val="FF0000"/>
              </w:rPr>
            </w:pPr>
            <w:r w:rsidRPr="00186C7D">
              <w:rPr>
                <w:color w:val="FF0000"/>
              </w:rPr>
              <w:t xml:space="preserve">Is there </w:t>
            </w:r>
            <w:r>
              <w:rPr>
                <w:color w:val="FF0000"/>
              </w:rPr>
              <w:t xml:space="preserve">a preference of what type of fencing would be desired if cost were not associated? Mr. Cash said he would choose Vinyl fencing as it more child friendly and looks nicer although when completing the application he choose what was most cost effective. </w:t>
            </w:r>
          </w:p>
          <w:p w:rsidR="00186C7D" w:rsidRDefault="00186C7D" w:rsidP="00186C7D">
            <w:pPr>
              <w:pStyle w:val="BodyText"/>
              <w:numPr>
                <w:ilvl w:val="0"/>
                <w:numId w:val="17"/>
              </w:numPr>
              <w:rPr>
                <w:color w:val="FF0000"/>
              </w:rPr>
            </w:pPr>
            <w:r>
              <w:rPr>
                <w:color w:val="FF0000"/>
              </w:rPr>
              <w:lastRenderedPageBreak/>
              <w:t xml:space="preserve">It was asked if Mr. Cash could get a break down of cost of fencing for only the North and east sides of the property and waiting </w:t>
            </w:r>
            <w:proofErr w:type="spellStart"/>
            <w:r>
              <w:rPr>
                <w:color w:val="FF0000"/>
              </w:rPr>
              <w:t>til</w:t>
            </w:r>
            <w:proofErr w:type="spellEnd"/>
            <w:r>
              <w:rPr>
                <w:color w:val="FF0000"/>
              </w:rPr>
              <w:t xml:space="preserve"> a later date to fence the rest due to future Public works projects. </w:t>
            </w:r>
          </w:p>
          <w:p w:rsidR="00186C7D" w:rsidRPr="00186C7D" w:rsidRDefault="00186C7D" w:rsidP="00186C7D">
            <w:pPr>
              <w:pStyle w:val="BodyText"/>
              <w:numPr>
                <w:ilvl w:val="0"/>
                <w:numId w:val="17"/>
              </w:numPr>
              <w:rPr>
                <w:color w:val="FF0000"/>
              </w:rPr>
            </w:pPr>
            <w:r>
              <w:rPr>
                <w:color w:val="FF0000"/>
              </w:rPr>
              <w:t>Picture slides are attached.</w:t>
            </w:r>
          </w:p>
          <w:p w:rsidR="00EA7A00" w:rsidRPr="003C634C" w:rsidRDefault="00EA7A00" w:rsidP="00140C92">
            <w:pPr>
              <w:pStyle w:val="BodyText"/>
              <w:ind w:left="0"/>
              <w:rPr>
                <w:color w:val="FF0000"/>
              </w:rPr>
            </w:pPr>
          </w:p>
        </w:tc>
      </w:tr>
      <w:tr w:rsidR="00140C92" w:rsidTr="00CF1B18">
        <w:tc>
          <w:tcPr>
            <w:tcW w:w="3110" w:type="dxa"/>
          </w:tcPr>
          <w:p w:rsidR="00140C92" w:rsidRDefault="00D83EC9" w:rsidP="00D83EC9">
            <w:pPr>
              <w:pStyle w:val="BodyText"/>
              <w:ind w:left="0"/>
            </w:pPr>
            <w:r>
              <w:lastRenderedPageBreak/>
              <w:t>Hope Harbor</w:t>
            </w:r>
          </w:p>
        </w:tc>
        <w:tc>
          <w:tcPr>
            <w:tcW w:w="3074" w:type="dxa"/>
          </w:tcPr>
          <w:p w:rsidR="00140C92" w:rsidRDefault="00D83EC9" w:rsidP="00D83EC9">
            <w:pPr>
              <w:pStyle w:val="BodyText"/>
              <w:ind w:left="0" w:right="-120"/>
            </w:pPr>
            <w:r>
              <w:t>Land Acquisition</w:t>
            </w:r>
          </w:p>
        </w:tc>
        <w:tc>
          <w:tcPr>
            <w:tcW w:w="3310" w:type="dxa"/>
          </w:tcPr>
          <w:p w:rsidR="00140C92" w:rsidRDefault="00D83EC9" w:rsidP="00140C92">
            <w:pPr>
              <w:pStyle w:val="BodyText"/>
              <w:ind w:left="0"/>
            </w:pPr>
            <w:r>
              <w:t>$195,000</w:t>
            </w:r>
          </w:p>
        </w:tc>
      </w:tr>
      <w:tr w:rsidR="00E11B31" w:rsidTr="00B13C7C">
        <w:tc>
          <w:tcPr>
            <w:tcW w:w="9494" w:type="dxa"/>
            <w:gridSpan w:val="3"/>
          </w:tcPr>
          <w:p w:rsidR="00E11B31" w:rsidRDefault="00186C7D" w:rsidP="00140C92">
            <w:pPr>
              <w:pStyle w:val="BodyText"/>
              <w:ind w:left="0"/>
              <w:rPr>
                <w:color w:val="FF0000"/>
              </w:rPr>
            </w:pPr>
            <w:r>
              <w:rPr>
                <w:color w:val="FF0000"/>
              </w:rPr>
              <w:t xml:space="preserve">Liz Mayfield was in attendance to present Hope harbor’s Proposal. Please find </w:t>
            </w:r>
            <w:r w:rsidR="0073514A">
              <w:rPr>
                <w:color w:val="FF0000"/>
              </w:rPr>
              <w:t xml:space="preserve">attached slides for reference. Liz Mayfield informed the group that the owner of the properties contacted Hope harbor willing to selling them the properties. The properties will be vacant before purchasing and by purchasing these properties Hope Harbor in the future could provide a more well-rounded approach to aiding the chronically homeless in our community. </w:t>
            </w:r>
          </w:p>
          <w:p w:rsidR="0073514A" w:rsidRDefault="0073514A" w:rsidP="00140C92">
            <w:pPr>
              <w:pStyle w:val="BodyText"/>
              <w:ind w:left="0"/>
              <w:rPr>
                <w:color w:val="FF0000"/>
              </w:rPr>
            </w:pPr>
            <w:r>
              <w:rPr>
                <w:color w:val="FF0000"/>
              </w:rPr>
              <w:t xml:space="preserve">Questions: </w:t>
            </w:r>
          </w:p>
          <w:p w:rsidR="005F2F03" w:rsidRDefault="0073514A" w:rsidP="005F2F03">
            <w:pPr>
              <w:pStyle w:val="BodyText"/>
              <w:numPr>
                <w:ilvl w:val="0"/>
                <w:numId w:val="18"/>
              </w:numPr>
              <w:rPr>
                <w:color w:val="FF0000"/>
              </w:rPr>
            </w:pPr>
            <w:r>
              <w:rPr>
                <w:color w:val="FF0000"/>
              </w:rPr>
              <w:t xml:space="preserve">Does Hope Harbor only serve women at the facility and would the future proposed housing do the same.  Hope Harbor does not duplicate services that are offered by Salvation Army or Cross roads who accept single men into their facilities, although Hope harbor will house men who are a part of a two parent family or single father and </w:t>
            </w:r>
            <w:r w:rsidR="005F2F03">
              <w:rPr>
                <w:color w:val="FF0000"/>
              </w:rPr>
              <w:t xml:space="preserve">children, so in some cases men are served.  It is anticipated that the future housing spaces being built would accept referrals from other agencies and it would be a who needs it most type of acceptance when opening are available not just residents from Hope Harbor. </w:t>
            </w:r>
          </w:p>
          <w:p w:rsidR="005F2F03" w:rsidRDefault="005F2F03" w:rsidP="005F2F03">
            <w:pPr>
              <w:pStyle w:val="BodyText"/>
              <w:numPr>
                <w:ilvl w:val="0"/>
                <w:numId w:val="18"/>
              </w:numPr>
              <w:rPr>
                <w:color w:val="FF0000"/>
              </w:rPr>
            </w:pPr>
            <w:r>
              <w:rPr>
                <w:color w:val="FF0000"/>
              </w:rPr>
              <w:t xml:space="preserve">Would Hope Harbor return and ask for funding in aid in building the new structure? Amber Alvidrez answered that CDBG cannot easily aid in new development, that an organization has to have a special designation and there currently are no nonprofits that are considered Community Development Based Organization. It was noted that CDBG can aid in acquisition, demolition and rehabilitation of a building, due to this acquisition may be the only or best phase for CBDG funding to aid in this project.  Liz Mayfield did note that more fundraising would need to take place before moving on to the development phase. </w:t>
            </w:r>
          </w:p>
          <w:p w:rsidR="005F2F03" w:rsidRPr="005F2F03" w:rsidRDefault="005F2F03" w:rsidP="005F2F03">
            <w:pPr>
              <w:pStyle w:val="BodyText"/>
              <w:numPr>
                <w:ilvl w:val="0"/>
                <w:numId w:val="18"/>
              </w:numPr>
              <w:rPr>
                <w:color w:val="FF0000"/>
              </w:rPr>
            </w:pPr>
            <w:r>
              <w:rPr>
                <w:color w:val="FF0000"/>
              </w:rPr>
              <w:t xml:space="preserve">It was asked what would happen if the funds were not raised and the new complex wasn’t built and CDBG funds were used on acquisition. Amber Alvidrez answered that the city would place a minimum of a 10 year lien on the property, if the future land use as proposed does not take place, Hope harbor would be required to repay the amount of funds. </w:t>
            </w:r>
          </w:p>
        </w:tc>
      </w:tr>
    </w:tbl>
    <w:p w:rsidR="00140C92" w:rsidRPr="00140C92" w:rsidRDefault="00140C92" w:rsidP="00140C92">
      <w:pPr>
        <w:pStyle w:val="BodyText"/>
      </w:pPr>
    </w:p>
    <w:p w:rsidR="0064469D" w:rsidRDefault="00D83EC9" w:rsidP="00D83EC9">
      <w:pPr>
        <w:pStyle w:val="BodyText"/>
        <w:ind w:left="720"/>
      </w:pPr>
      <w:r>
        <w:t>Total funding available $365,907- City will reserve approximately $55,000.  Remaining to be allocated $310,907.</w:t>
      </w:r>
    </w:p>
    <w:p w:rsidR="00D83EC9" w:rsidRDefault="00D83EC9" w:rsidP="00D83EC9">
      <w:pPr>
        <w:pStyle w:val="BodyText"/>
        <w:ind w:left="720"/>
      </w:pPr>
    </w:p>
    <w:p w:rsidR="00082357" w:rsidRPr="0064469D" w:rsidRDefault="00082357" w:rsidP="00D83EC9">
      <w:pPr>
        <w:pStyle w:val="BodyText"/>
        <w:ind w:left="720"/>
      </w:pPr>
      <w:r>
        <w:t>Next Meeting: June 2</w:t>
      </w:r>
      <w:r w:rsidRPr="00082357">
        <w:rPr>
          <w:vertAlign w:val="superscript"/>
        </w:rPr>
        <w:t>nd</w:t>
      </w:r>
      <w:r>
        <w:t xml:space="preserve"> 2022, 2pm at City Hall (Community Meeting Room)</w:t>
      </w:r>
    </w:p>
    <w:p w:rsidR="00D90114" w:rsidRPr="00630874" w:rsidRDefault="00630874" w:rsidP="00733611">
      <w:pPr>
        <w:pStyle w:val="BodyText"/>
        <w:ind w:left="1080"/>
        <w:rPr>
          <w:rFonts w:ascii="Times New Roman" w:hAnsi="Times New Roman" w:cs="Times New Roman"/>
          <w:color w:val="FF0000"/>
        </w:rPr>
      </w:pPr>
      <w:r>
        <w:rPr>
          <w:rFonts w:ascii="Times New Roman" w:hAnsi="Times New Roman" w:cs="Times New Roman"/>
          <w:color w:val="FF0000"/>
        </w:rPr>
        <w:t xml:space="preserve">Meeting was adjourned at 3:38pm. </w:t>
      </w:r>
    </w:p>
    <w:p w:rsidR="00DF0143" w:rsidRPr="00B65CB7" w:rsidRDefault="00DF0143" w:rsidP="00B77D27">
      <w:pPr>
        <w:pStyle w:val="BodyText"/>
        <w:ind w:left="0"/>
      </w:pPr>
    </w:p>
    <w:p w:rsidR="008D0407" w:rsidRDefault="008D0407" w:rsidP="008D0407">
      <w:pPr>
        <w:pStyle w:val="BodyText"/>
        <w:ind w:left="1296"/>
      </w:pPr>
    </w:p>
    <w:p w:rsidR="00DD5D7B" w:rsidRPr="00F87CDF" w:rsidRDefault="00DD5D7B" w:rsidP="00DD5D7B">
      <w:pPr>
        <w:pStyle w:val="BodyText"/>
        <w:ind w:left="1296"/>
      </w:pPr>
    </w:p>
    <w:p w:rsidR="00DF49D6" w:rsidRDefault="00DF49D6" w:rsidP="00DF49D6">
      <w:pPr>
        <w:pStyle w:val="BodyText"/>
      </w:pPr>
    </w:p>
    <w:p w:rsidR="009C24BB" w:rsidRDefault="009C24BB" w:rsidP="008A4C43">
      <w:pPr>
        <w:pStyle w:val="BodyText"/>
        <w:ind w:left="0"/>
        <w:rPr>
          <w:color w:val="FF0000"/>
        </w:rPr>
      </w:pPr>
    </w:p>
    <w:p w:rsidR="008D0407" w:rsidRPr="00DD083E" w:rsidRDefault="008D0407" w:rsidP="008A4C43">
      <w:pPr>
        <w:pStyle w:val="BodyText"/>
        <w:ind w:left="0"/>
        <w:rPr>
          <w:color w:val="FF0000"/>
        </w:rPr>
      </w:pPr>
    </w:p>
    <w:sectPr w:rsidR="008D0407" w:rsidRPr="00DD083E">
      <w:footerReference w:type="defaul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C7" w:rsidRDefault="0032609B">
      <w:pPr>
        <w:spacing w:after="0" w:line="240" w:lineRule="auto"/>
      </w:pPr>
      <w:r>
        <w:separator/>
      </w:r>
    </w:p>
  </w:endnote>
  <w:endnote w:type="continuationSeparator" w:id="0">
    <w:p w:rsidR="00FA4DC7" w:rsidRDefault="0032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C7" w:rsidRDefault="0032609B">
    <w:pPr>
      <w:pStyle w:val="Footer"/>
    </w:pPr>
    <w:r>
      <w:t xml:space="preserve">Page </w:t>
    </w:r>
    <w:r>
      <w:fldChar w:fldCharType="begin"/>
    </w:r>
    <w:r>
      <w:instrText xml:space="preserve"> PAGE   \* MERGEFORMAT </w:instrText>
    </w:r>
    <w:r>
      <w:fldChar w:fldCharType="separate"/>
    </w:r>
    <w:r w:rsidR="009860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C7" w:rsidRDefault="0032609B">
      <w:pPr>
        <w:spacing w:after="0" w:line="240" w:lineRule="auto"/>
      </w:pPr>
      <w:r>
        <w:separator/>
      </w:r>
    </w:p>
  </w:footnote>
  <w:footnote w:type="continuationSeparator" w:id="0">
    <w:p w:rsidR="00FA4DC7" w:rsidRDefault="00326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42EE"/>
    <w:multiLevelType w:val="multilevel"/>
    <w:tmpl w:val="4AB0ABC8"/>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6C5DEC"/>
    <w:multiLevelType w:val="hybridMultilevel"/>
    <w:tmpl w:val="59F2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10E11"/>
    <w:multiLevelType w:val="hybridMultilevel"/>
    <w:tmpl w:val="90F2115C"/>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220C5437"/>
    <w:multiLevelType w:val="hybridMultilevel"/>
    <w:tmpl w:val="308E1B64"/>
    <w:lvl w:ilvl="0" w:tplc="7E74973E">
      <w:numFmt w:val="bullet"/>
      <w:lvlText w:val="-"/>
      <w:lvlJc w:val="left"/>
      <w:pPr>
        <w:ind w:left="2016" w:hanging="360"/>
      </w:pPr>
      <w:rPr>
        <w:rFonts w:ascii="Georgia" w:eastAsiaTheme="minorEastAsia" w:hAnsi="Georgia" w:cstheme="minorBidi"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 w15:restartNumberingAfterBreak="0">
    <w:nsid w:val="37BB3309"/>
    <w:multiLevelType w:val="hybridMultilevel"/>
    <w:tmpl w:val="1842DC4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86E1244"/>
    <w:multiLevelType w:val="hybridMultilevel"/>
    <w:tmpl w:val="003AEEC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3C530B69"/>
    <w:multiLevelType w:val="hybridMultilevel"/>
    <w:tmpl w:val="FC366A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957ADC"/>
    <w:multiLevelType w:val="hybridMultilevel"/>
    <w:tmpl w:val="4EFA46E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995E27"/>
    <w:multiLevelType w:val="hybridMultilevel"/>
    <w:tmpl w:val="79CC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25C8C"/>
    <w:multiLevelType w:val="hybridMultilevel"/>
    <w:tmpl w:val="70803E2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4E2F182B"/>
    <w:multiLevelType w:val="hybridMultilevel"/>
    <w:tmpl w:val="DCB6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B78ED"/>
    <w:multiLevelType w:val="hybridMultilevel"/>
    <w:tmpl w:val="A142E46C"/>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15:restartNumberingAfterBreak="0">
    <w:nsid w:val="52873FC6"/>
    <w:multiLevelType w:val="hybridMultilevel"/>
    <w:tmpl w:val="C59A435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55DE61C0"/>
    <w:multiLevelType w:val="hybridMultilevel"/>
    <w:tmpl w:val="34609D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85E4C07"/>
    <w:multiLevelType w:val="hybridMultilevel"/>
    <w:tmpl w:val="65E2ED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564759"/>
    <w:multiLevelType w:val="hybridMultilevel"/>
    <w:tmpl w:val="D990F2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C94098"/>
    <w:multiLevelType w:val="hybridMultilevel"/>
    <w:tmpl w:val="7A42A8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775B22CE"/>
    <w:multiLevelType w:val="hybridMultilevel"/>
    <w:tmpl w:val="8A80B542"/>
    <w:lvl w:ilvl="0" w:tplc="7E74973E">
      <w:numFmt w:val="bullet"/>
      <w:lvlText w:val="-"/>
      <w:lvlJc w:val="left"/>
      <w:pPr>
        <w:ind w:left="1800" w:hanging="360"/>
      </w:pPr>
      <w:rPr>
        <w:rFonts w:ascii="Georgia" w:eastAsiaTheme="minorEastAsia" w:hAnsi="Georgia"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17"/>
  </w:num>
  <w:num w:numId="3">
    <w:abstractNumId w:val="8"/>
  </w:num>
  <w:num w:numId="4">
    <w:abstractNumId w:val="5"/>
  </w:num>
  <w:num w:numId="5">
    <w:abstractNumId w:val="3"/>
  </w:num>
  <w:num w:numId="6">
    <w:abstractNumId w:val="7"/>
  </w:num>
  <w:num w:numId="7">
    <w:abstractNumId w:val="2"/>
  </w:num>
  <w:num w:numId="8">
    <w:abstractNumId w:val="6"/>
  </w:num>
  <w:num w:numId="9">
    <w:abstractNumId w:val="9"/>
  </w:num>
  <w:num w:numId="10">
    <w:abstractNumId w:val="4"/>
  </w:num>
  <w:num w:numId="11">
    <w:abstractNumId w:val="15"/>
  </w:num>
  <w:num w:numId="12">
    <w:abstractNumId w:val="12"/>
  </w:num>
  <w:num w:numId="13">
    <w:abstractNumId w:val="16"/>
  </w:num>
  <w:num w:numId="14">
    <w:abstractNumId w:val="14"/>
  </w:num>
  <w:num w:numId="15">
    <w:abstractNumId w:val="11"/>
  </w:num>
  <w:num w:numId="16">
    <w:abstractNumId w:val="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C7"/>
    <w:rsid w:val="00032FBE"/>
    <w:rsid w:val="00082357"/>
    <w:rsid w:val="00095FD6"/>
    <w:rsid w:val="00140C92"/>
    <w:rsid w:val="00180FBD"/>
    <w:rsid w:val="00186C7D"/>
    <w:rsid w:val="0020557D"/>
    <w:rsid w:val="002A3A3C"/>
    <w:rsid w:val="002C6A9E"/>
    <w:rsid w:val="00313BC9"/>
    <w:rsid w:val="003213C6"/>
    <w:rsid w:val="0032609B"/>
    <w:rsid w:val="003C634C"/>
    <w:rsid w:val="003F1C17"/>
    <w:rsid w:val="003F7DCE"/>
    <w:rsid w:val="00404533"/>
    <w:rsid w:val="00413552"/>
    <w:rsid w:val="00464F27"/>
    <w:rsid w:val="004A4163"/>
    <w:rsid w:val="004D7728"/>
    <w:rsid w:val="004F6070"/>
    <w:rsid w:val="005030C7"/>
    <w:rsid w:val="00510ED3"/>
    <w:rsid w:val="00540F38"/>
    <w:rsid w:val="00554162"/>
    <w:rsid w:val="00572008"/>
    <w:rsid w:val="005E2953"/>
    <w:rsid w:val="005F2F03"/>
    <w:rsid w:val="00630874"/>
    <w:rsid w:val="00642EE6"/>
    <w:rsid w:val="0064469D"/>
    <w:rsid w:val="006B131B"/>
    <w:rsid w:val="006B5B42"/>
    <w:rsid w:val="006D06C3"/>
    <w:rsid w:val="006D09F5"/>
    <w:rsid w:val="00701B12"/>
    <w:rsid w:val="00733611"/>
    <w:rsid w:val="0073514A"/>
    <w:rsid w:val="00735BE6"/>
    <w:rsid w:val="00830FC9"/>
    <w:rsid w:val="00833B31"/>
    <w:rsid w:val="008423AF"/>
    <w:rsid w:val="008A4C43"/>
    <w:rsid w:val="008C02C0"/>
    <w:rsid w:val="008D0407"/>
    <w:rsid w:val="00920DB7"/>
    <w:rsid w:val="00930093"/>
    <w:rsid w:val="0098607D"/>
    <w:rsid w:val="009951C5"/>
    <w:rsid w:val="00995E76"/>
    <w:rsid w:val="009960A3"/>
    <w:rsid w:val="009C24BB"/>
    <w:rsid w:val="009D2A92"/>
    <w:rsid w:val="009F71D3"/>
    <w:rsid w:val="00A04980"/>
    <w:rsid w:val="00A166DC"/>
    <w:rsid w:val="00AA40CF"/>
    <w:rsid w:val="00AA6A31"/>
    <w:rsid w:val="00AC323B"/>
    <w:rsid w:val="00B145C3"/>
    <w:rsid w:val="00B65CB7"/>
    <w:rsid w:val="00B71B42"/>
    <w:rsid w:val="00B77D27"/>
    <w:rsid w:val="00B86499"/>
    <w:rsid w:val="00B970F6"/>
    <w:rsid w:val="00C107ED"/>
    <w:rsid w:val="00C60E06"/>
    <w:rsid w:val="00C61DC7"/>
    <w:rsid w:val="00CF1B18"/>
    <w:rsid w:val="00CF6DA5"/>
    <w:rsid w:val="00D26B0D"/>
    <w:rsid w:val="00D7383B"/>
    <w:rsid w:val="00D74CCD"/>
    <w:rsid w:val="00D83EC9"/>
    <w:rsid w:val="00D90114"/>
    <w:rsid w:val="00DD083E"/>
    <w:rsid w:val="00DD5D7B"/>
    <w:rsid w:val="00DF0143"/>
    <w:rsid w:val="00DF33A2"/>
    <w:rsid w:val="00DF49D6"/>
    <w:rsid w:val="00E11B31"/>
    <w:rsid w:val="00E377F3"/>
    <w:rsid w:val="00E45A3E"/>
    <w:rsid w:val="00E5486C"/>
    <w:rsid w:val="00E77FB1"/>
    <w:rsid w:val="00EA7A00"/>
    <w:rsid w:val="00F0782E"/>
    <w:rsid w:val="00F27FAE"/>
    <w:rsid w:val="00F309AC"/>
    <w:rsid w:val="00F47203"/>
    <w:rsid w:val="00F55E6A"/>
    <w:rsid w:val="00F87CDF"/>
    <w:rsid w:val="00FA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570D6-4174-4FF6-93FA-6BC149A46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3"/>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Pr>
      <w:rFonts w:asciiTheme="majorHAnsi" w:eastAsiaTheme="majorEastAsia" w:hAnsiTheme="majorHAnsi" w:cstheme="majorBidi"/>
    </w:rPr>
  </w:style>
  <w:style w:type="character" w:customStyle="1" w:styleId="Heading3Char">
    <w:name w:val="Heading 3 Char"/>
    <w:basedOn w:val="DefaultParagraphFont"/>
    <w:link w:val="Heading3"/>
    <w:uiPriority w:val="3"/>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Borders>
        <w:bottom w:val="single" w:sz="2" w:space="0" w:color="C4CBD3" w:themeColor="accent2" w:themeTint="99"/>
      </w:tblBorders>
      <w:tblCellMar>
        <w:left w:w="0" w:type="dxa"/>
        <w:right w:w="144" w:type="dxa"/>
      </w:tblCellMar>
    </w:tbl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style>
  <w:style w:type="character" w:customStyle="1" w:styleId="Heading5Char">
    <w:name w:val="Heading 5 Char"/>
    <w:basedOn w:val="DefaultParagraphFont"/>
    <w:link w:val="Heading5"/>
    <w:uiPriority w:val="9"/>
    <w:semiHidden/>
  </w:style>
  <w:style w:type="character" w:customStyle="1" w:styleId="Heading6Char">
    <w:name w:val="Heading 6 Char"/>
    <w:basedOn w:val="DefaultParagraphFont"/>
    <w:link w:val="Heading6"/>
    <w:uiPriority w:val="9"/>
    <w:semiHidden/>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style>
  <w:style w:type="character" w:customStyle="1" w:styleId="Heading9Char">
    <w:name w:val="Heading 9 Char"/>
    <w:basedOn w:val="DefaultParagraphFont"/>
    <w:link w:val="Heading9"/>
    <w:uiPriority w:val="9"/>
    <w:semiHidden/>
    <w:rPr>
      <w:i/>
      <w:iCs/>
    </w:rPr>
  </w:style>
  <w:style w:type="paragraph" w:styleId="BodyText">
    <w:name w:val="Body Text"/>
    <w:basedOn w:val="Normal"/>
    <w:link w:val="BodyTextChar"/>
    <w:uiPriority w:val="2"/>
    <w:unhideWhenUsed/>
    <w:qFormat/>
    <w:pPr>
      <w:spacing w:after="80"/>
      <w:ind w:left="576" w:right="2160"/>
    </w:pPr>
  </w:style>
  <w:style w:type="character" w:customStyle="1" w:styleId="BodyTextChar">
    <w:name w:val="Body Text Char"/>
    <w:basedOn w:val="DefaultParagraphFont"/>
    <w:link w:val="BodyText"/>
    <w:uiPriority w:val="2"/>
  </w:style>
  <w:style w:type="paragraph" w:styleId="BalloonText">
    <w:name w:val="Balloon Text"/>
    <w:basedOn w:val="Normal"/>
    <w:link w:val="BalloonTextChar"/>
    <w:uiPriority w:val="99"/>
    <w:semiHidden/>
    <w:unhideWhenUsed/>
    <w:rsid w:val="00833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B31"/>
    <w:rPr>
      <w:rFonts w:ascii="Segoe UI" w:hAnsi="Segoe UI" w:cs="Segoe UI"/>
      <w:sz w:val="18"/>
      <w:szCs w:val="18"/>
    </w:rPr>
  </w:style>
  <w:style w:type="paragraph" w:styleId="ListParagraph">
    <w:name w:val="List Paragraph"/>
    <w:basedOn w:val="Normal"/>
    <w:uiPriority w:val="34"/>
    <w:qFormat/>
    <w:rsid w:val="00D74CCD"/>
    <w:pPr>
      <w:spacing w:after="160" w:line="259"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5590">
      <w:bodyDiv w:val="1"/>
      <w:marLeft w:val="0"/>
      <w:marRight w:val="0"/>
      <w:marTop w:val="0"/>
      <w:marBottom w:val="0"/>
      <w:divBdr>
        <w:top w:val="none" w:sz="0" w:space="0" w:color="auto"/>
        <w:left w:val="none" w:sz="0" w:space="0" w:color="auto"/>
        <w:bottom w:val="none" w:sz="0" w:space="0" w:color="auto"/>
        <w:right w:val="none" w:sz="0" w:space="0" w:color="auto"/>
      </w:divBdr>
    </w:div>
    <w:div w:id="4673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Grand Island</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Grand Island</dc:creator>
  <cp:lastModifiedBy>Jill Granere</cp:lastModifiedBy>
  <cp:revision>2</cp:revision>
  <cp:lastPrinted>2020-11-24T19:32:00Z</cp:lastPrinted>
  <dcterms:created xsi:type="dcterms:W3CDTF">2022-06-01T18:06:00Z</dcterms:created>
  <dcterms:modified xsi:type="dcterms:W3CDTF">2022-06-01T18:06:00Z</dcterms:modified>
</cp:coreProperties>
</file>